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1"/>
        <w:ind w:firstLine="0"/>
        <w:rPr>
          <w:rFonts w:eastAsia="黑体"/>
          <w:b/>
          <w:bCs/>
          <w:color w:val="000000" w:themeColor="text1"/>
          <w:sz w:val="84"/>
          <w:highlight w:val="none"/>
          <w:shd w:val="clear" w:color="ffffff" w:fill="d9d9d9"/>
          <w14:textFill>
            <w14:solidFill>
              <w14:schemeClr w14:val="tx1"/>
            </w14:solidFill>
          </w14:textFill>
        </w:rPr>
      </w:pPr>
      <w:r>
        <w:rPr>
          <w:rFonts w:eastAsia="黑体"/>
          <w:b/>
          <w:bCs/>
          <w:color w:val="000000" w:themeColor="text1"/>
          <w:sz w:val="84"/>
          <w:highlight w:val="none"/>
          <w:shd w:val="clear" w:color="ffffff" w:fill="d9d9d9"/>
          <w14:textFill>
            <w14:solidFill>
              <w14:schemeClr w14:val="tx1"/>
            </w14:solidFill>
          </w14:textFill>
        </w:rPr>
      </w:r>
      <w:r/>
    </w:p>
    <w:p>
      <w:pPr>
        <w:pStyle w:val="1001"/>
        <w:ind w:firstLine="0"/>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公 开 招 标 文 件</w:t>
      </w:r>
      <w:r/>
    </w:p>
    <w:p>
      <w:pPr>
        <w:pStyle w:val="1001"/>
        <w:ind w:firstLine="0"/>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t xml:space="preserve">（暗标）</w:t>
      </w:r>
      <w:r/>
    </w:p>
    <w:p>
      <w:pPr>
        <w:pStyle w:val="1001"/>
        <w:ind w:firstLine="0"/>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0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0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920"/>
        <w:jc w:val="left"/>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JSZC-320200-XWJC-G2025-0117</w:t>
      </w:r>
      <w:r/>
    </w:p>
    <w:p>
      <w:pPr>
        <w:ind w:left="3515" w:hanging="1600"/>
        <w:jc w:val="left"/>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江南大学附属医院胃肠镜主机、高清电子胃镜、高清电子肠镜项目</w:t>
      </w:r>
      <w:r/>
    </w:p>
    <w:p>
      <w:pPr>
        <w:ind w:firstLine="1920"/>
        <w:jc w:val="left"/>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江南大学附属医院</w:t>
      </w:r>
      <w:r/>
    </w:p>
    <w:p>
      <w:pPr>
        <w:jc w:val="center"/>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pStyle w:val="1001"/>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1001"/>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1001"/>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1001"/>
        <w:ind w:firstLine="0"/>
        <w:jc w:val="center"/>
        <w:spacing w:before="0" w:after="0"/>
        <w:rPr>
          <w:rFonts w:hint="eastAsia" w:ascii="宋体" w:hAnsi="宋体" w:eastAsia="黑体"/>
          <w:color w:val="000000" w:themeColor="text1"/>
          <w:sz w:val="32"/>
          <w:szCs w:val="32"/>
          <w:highlight w:val="none"/>
          <w:shd w:val="clear" w:color="ffffff" w:fill="d9d9d9"/>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采购代理机构：无锡市卫生健康综合服务中心</w:t>
      </w:r>
      <w:r/>
    </w:p>
    <w:p>
      <w:pPr>
        <w:pStyle w:val="1001"/>
        <w:ind w:firstLine="0"/>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二〇</w:t>
      </w:r>
      <w:r>
        <w:rPr>
          <w:rFonts w:hint="eastAsia" w:ascii="黑体" w:hAnsi="华文中宋" w:eastAsia="黑体"/>
          <w:bCs/>
          <w:color w:val="000000" w:themeColor="text1"/>
          <w:sz w:val="32"/>
          <w:szCs w:val="32"/>
          <w:highlight w:val="none"/>
          <w14:textFill>
            <w14:solidFill>
              <w14:schemeClr w14:val="tx1"/>
            </w14:solidFill>
          </w14:textFill>
        </w:rPr>
        <w:t xml:space="preserve">二</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五</w:t>
      </w:r>
      <w:r>
        <w:rPr>
          <w:rFonts w:hint="eastAsia" w:ascii="黑体" w:hAnsi="华文中宋" w:eastAsia="黑体"/>
          <w:bCs/>
          <w:color w:val="000000" w:themeColor="text1"/>
          <w:sz w:val="32"/>
          <w:szCs w:val="32"/>
          <w:highlight w:val="none"/>
          <w14:textFill>
            <w14:solidFill>
              <w14:schemeClr w14:val="tx1"/>
            </w14:solidFill>
          </w14:textFill>
        </w:rPr>
        <w:t xml:space="preserve">年</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十一</w:t>
      </w:r>
      <w:r>
        <w:rPr>
          <w:rFonts w:hint="eastAsia" w:ascii="黑体" w:hAnsi="华文中宋" w:eastAsia="黑体"/>
          <w:bCs/>
          <w:color w:val="000000" w:themeColor="text1"/>
          <w:sz w:val="32"/>
          <w:szCs w:val="32"/>
          <w:highlight w:val="none"/>
          <w14:textFill>
            <w14:solidFill>
              <w14:schemeClr w14:val="tx1"/>
            </w14:solidFill>
          </w14:textFill>
        </w:rPr>
        <w:t xml:space="preserve">月</w:t>
      </w:r>
      <w:r/>
    </w:p>
    <w:p>
      <w:pPr>
        <w:pStyle w:val="1001"/>
        <w:ind w:firstLine="0"/>
        <w:jc w:val="center"/>
        <w:rPr>
          <w:rFonts w:hint="eastAsia" w:ascii="黑体" w:hAnsi="黑体" w:eastAsia="黑体"/>
          <w:color w:val="000000" w:themeColor="text1"/>
          <w:sz w:val="36"/>
          <w:szCs w:val="36"/>
          <w:highlight w:val="none"/>
          <w14:textFill>
            <w14:solidFill>
              <w14:schemeClr w14:val="tx1"/>
            </w14:solidFill>
          </w14:textFill>
        </w:rPr>
      </w:pPr>
      <w:r>
        <w:rPr>
          <w:rFonts w:ascii="黑体" w:hAnsi="华文中宋" w:eastAsia="黑体"/>
          <w:bCs/>
          <w:color w:val="000000" w:themeColor="text1"/>
          <w:sz w:val="44"/>
          <w:szCs w:val="44"/>
          <w:highlight w:val="none"/>
          <w14:textFill>
            <w14:solidFill>
              <w14:schemeClr w14:val="tx1"/>
            </w14:solidFill>
          </w14:textFill>
        </w:rPr>
        <w:br w:type="page" w:clear="all"/>
      </w:r>
      <w:bookmarkStart w:id="0" w:name="_Toc120614210"/>
      <w:r/>
      <w:bookmarkStart w:id="1" w:name="_Toc523127445"/>
      <w:r/>
      <w:bookmarkStart w:id="2" w:name="_Toc16938516"/>
      <w:r/>
      <w:bookmarkStart w:id="3" w:name="_Toc20823272"/>
      <w:r/>
      <w:bookmarkStart w:id="4" w:name="_Toc513029200"/>
      <w:r/>
      <w:bookmarkStart w:id="5" w:name="_Toc479757206"/>
      <w:r>
        <w:rPr>
          <w:rFonts w:hint="eastAsia" w:ascii="黑体" w:hAnsi="华文中宋" w:eastAsia="黑体"/>
          <w:bCs/>
          <w:color w:val="000000" w:themeColor="text1"/>
          <w:sz w:val="44"/>
          <w:szCs w:val="44"/>
          <w:highlight w:val="none"/>
          <w14:textFill>
            <w14:solidFill>
              <w14:schemeClr w14:val="tx1"/>
            </w14:solidFill>
          </w14:textFill>
        </w:rPr>
        <w:t xml:space="preserve"> </w:t>
      </w:r>
      <w:r>
        <w:rPr>
          <w:rFonts w:hint="eastAsia" w:ascii="黑体" w:hAnsi="黑体" w:eastAsia="黑体"/>
          <w:color w:val="000000" w:themeColor="text1"/>
          <w:sz w:val="36"/>
          <w:szCs w:val="36"/>
          <w:highlight w:val="none"/>
          <w14:textFill>
            <w14:solidFill>
              <w14:schemeClr w14:val="tx1"/>
            </w14:solidFill>
          </w14:textFill>
        </w:rPr>
        <w:t xml:space="preserve"> 总  目  录</w:t>
      </w:r>
      <w:r/>
    </w:p>
    <w:p>
      <w:pPr>
        <w:jc w:val="center"/>
        <w:spacing w:line="480" w:lineRule="auto"/>
        <w:rPr>
          <w:rFonts w:ascii="黑体" w:hAnsi="Arial" w:eastAsia="黑体"/>
          <w:color w:val="000000" w:themeColor="text1"/>
          <w:sz w:val="44"/>
          <w:highlight w:val="none"/>
          <w14:textFill>
            <w14:solidFill>
              <w14:schemeClr w14:val="tx1"/>
            </w14:solidFill>
          </w14:textFill>
        </w:rPr>
        <w:outlineLvl w:val="0"/>
      </w:pPr>
      <w:r>
        <w:rPr>
          <w:rFonts w:ascii="黑体" w:hAnsi="Arial" w:eastAsia="黑体"/>
          <w:color w:val="000000" w:themeColor="text1"/>
          <w:sz w:val="44"/>
          <w:highlight w:val="non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投标邀请----------------------------------（4）</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投标人须知--------------------------------（8）</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合同文本---------------------------------（21）</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采购需求---------------------------------（26）</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评标方法与评标标准-----------------------（33）</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投标文件内容与格式-----------------------（38）</w:t>
      </w:r>
      <w:r/>
    </w:p>
    <w:p>
      <w:pPr>
        <w:jc w:val="center"/>
        <w:spacing w:line="500" w:lineRule="exact"/>
        <w:tabs>
          <w:tab w:val="left" w:pos="1440" w:leader="none"/>
        </w:tabs>
        <w:rPr>
          <w:rFonts w:ascii="黑体" w:hAnsi="Showcard Gothic" w:eastAsia="黑体"/>
          <w:color w:val="000000" w:themeColor="text1"/>
          <w:sz w:val="30"/>
          <w:szCs w:val="30"/>
          <w:highlight w:val="none"/>
          <w14:textFill>
            <w14:solidFill>
              <w14:schemeClr w14:val="tx1"/>
            </w14:solidFill>
          </w14:textFill>
        </w:rPr>
        <w:outlineLvl w:val="0"/>
      </w:pPr>
      <w:r>
        <w:rPr>
          <w:rFonts w:ascii="黑体" w:hAnsi="Showcard Gothic" w:eastAsia="黑体"/>
          <w:color w:val="000000" w:themeColor="text1"/>
          <w:sz w:val="30"/>
          <w:szCs w:val="30"/>
          <w:highlight w:val="none"/>
          <w14:textFill>
            <w14:solidFill>
              <w14:schemeClr w14:val="tx1"/>
            </w14:solidFill>
          </w14:textFill>
        </w:rPr>
        <w:br w:type="page" w:clear="all"/>
      </w:r>
      <w:r/>
    </w:p>
    <w:p>
      <w:pPr>
        <w:pStyle w:val="772"/>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none"/>
          <w:shd w:val="clear" w:color="auto" w:fill="ffffff"/>
          <w14:textFill>
            <w14:solidFill>
              <w14:schemeClr w14:val="tx1"/>
            </w14:solidFill>
          </w14:textFill>
        </w:rPr>
      </w:pPr>
      <w:r>
        <w:rPr>
          <w:rFonts w:hint="eastAsia" w:ascii="方正小标宋简体" w:hAnsi="方正小标宋简体" w:eastAsia="方正小标宋简体" w:cs="方正小标宋简体"/>
          <w:color w:val="000000" w:themeColor="text1"/>
          <w:spacing w:val="7"/>
          <w:sz w:val="36"/>
          <w:szCs w:val="36"/>
          <w:highlight w:val="none"/>
          <w14:textFill>
            <w14:solidFill>
              <w14:schemeClr w14:val="tx1"/>
            </w14:solidFill>
          </w14:textFill>
        </w:rPr>
        <w:t xml:space="preserve">政府采购提醒函</w:t>
      </w:r>
      <w:r/>
    </w:p>
    <w:p>
      <w:pPr>
        <w:pStyle w:val="772"/>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各投标供应商：</w:t>
      </w:r>
      <w:r/>
    </w:p>
    <w:p>
      <w:pPr>
        <w:pStyle w:val="747"/>
        <w:ind w:firstLine="560"/>
        <w:spacing w:line="560" w:lineRule="exact"/>
        <w:rPr>
          <w:rFonts w:hint="eastAsia" w:ascii="方正黑体_GBK" w:hAnsi="方正黑体_GBK" w:eastAsia="方正黑体_GBK" w:cs="方正黑体_GBK"/>
          <w:color w:val="000000" w:themeColor="text1"/>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highlight w:val="non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47"/>
        <w:ind w:firstLine="560"/>
        <w:spacing w:line="560" w:lineRule="exact"/>
        <w:rPr>
          <w:rFonts w:hint="eastAsia" w:ascii="方正黑体_GBK" w:hAnsi="方正黑体_GBK" w:eastAsia="方正黑体_GBK" w:cs="方正黑体_GBK"/>
          <w:color w:val="000000" w:themeColor="text1"/>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highlight w:val="none"/>
          <w:shd w:val="clear" w:color="auto" w:fill="ffffff"/>
          <w14:textFill>
            <w14:solidFill>
              <w14:schemeClr w14:val="tx1"/>
            </w14:solidFill>
          </w14:textFill>
        </w:rPr>
        <w:t xml:space="preserve">一、串标情形</w:t>
      </w:r>
      <w:r/>
    </w:p>
    <w:p>
      <w:pPr>
        <w:pStyle w:val="772"/>
        <w:ind w:firstLine="560"/>
        <w:spacing w:before="0" w:beforeAutospacing="0" w:after="0" w:afterAutospacing="0" w:line="560" w:lineRule="exact"/>
        <w:shd w:val="clear" w:color="auto" w:fill="ffffff"/>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1. 《中华人民共和国政府采购法实施条例》第七十四条</w:t>
      </w:r>
      <w:r/>
    </w:p>
    <w:p>
      <w:pPr>
        <w:pStyle w:val="77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7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7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（二）供应商按照采购人或者采购代理机构的授意撤换、修改投标文件或者响应文件。</w:t>
      </w:r>
      <w:r/>
    </w:p>
    <w:p>
      <w:pPr>
        <w:pStyle w:val="77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（三）供应商之间协商报价、技术方案等投标文件或者响应文件的实质性内容。</w:t>
      </w:r>
      <w:r/>
    </w:p>
    <w:p>
      <w:pPr>
        <w:pStyle w:val="77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7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（五）供应商之间事先约定由某一特定供应商中标、成交。</w:t>
      </w:r>
      <w:r/>
    </w:p>
    <w:p>
      <w:pPr>
        <w:pStyle w:val="77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（六）供应商之间商定部分供应商放弃参加政府采购活动或者放弃中标、成交。</w:t>
      </w:r>
      <w:r/>
    </w:p>
    <w:p>
      <w:pPr>
        <w:pStyle w:val="77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72"/>
        <w:ind w:firstLine="560"/>
        <w:spacing w:before="0" w:beforeAutospacing="0" w:after="0" w:afterAutospacing="0" w:line="560" w:lineRule="exact"/>
        <w:shd w:val="clear" w:color="auto" w:fill="ffffff"/>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2. 《货物和服务招标投标管理办法》（财政部87号令）第三十七条</w:t>
      </w:r>
      <w:r/>
    </w:p>
    <w:p>
      <w:pPr>
        <w:pStyle w:val="772"/>
        <w:ind w:firstLine="560"/>
        <w:spacing w:before="0" w:beforeAutospacing="0" w:after="0" w:afterAutospacing="0" w:line="560" w:lineRule="exact"/>
        <w:shd w:val="clear" w:color="auto" w:fill="ffffff"/>
        <w:tabs>
          <w:tab w:val="left" w:pos="8751" w:leader="none"/>
        </w:tabs>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有下列情形之一的，视为投标人串通投标，其投标无效：</w:t>
      </w:r>
      <w:r>
        <w:rPr>
          <w:color w:val="000000" w:themeColor="text1"/>
          <w:highlight w:val="none"/>
          <w14:textFill>
            <w14:solidFill>
              <w14:schemeClr w14:val="tx1"/>
            </w14:solidFill>
          </w14:textFill>
        </w:rPr>
        <w:tab/>
      </w:r>
      <w:r/>
    </w:p>
    <w:p>
      <w:pPr>
        <w:pStyle w:val="77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（一）不同投标人的投标文件由同一单位或者个人编制。</w:t>
      </w:r>
      <w:r/>
    </w:p>
    <w:p>
      <w:pPr>
        <w:pStyle w:val="77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（二）不同投标人委托同一单位或者个人办理投标事宜。</w:t>
      </w:r>
      <w:r/>
    </w:p>
    <w:p>
      <w:pPr>
        <w:pStyle w:val="77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（三）不同投标人的投标文件载明的项目管理成员或者联系人员为同一人。</w:t>
      </w:r>
      <w:r/>
    </w:p>
    <w:p>
      <w:pPr>
        <w:pStyle w:val="77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（四）不同投标人的投标文件异常一致或者投标报价呈规律性差异。</w:t>
      </w:r>
      <w:r/>
    </w:p>
    <w:p>
      <w:pPr>
        <w:pStyle w:val="77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（五）不同投标人的投标文件相互混装。</w:t>
      </w:r>
      <w:r/>
    </w:p>
    <w:p>
      <w:pPr>
        <w:pStyle w:val="77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（六）不同投标人的投标保证金从同一单位或者个人的账户转出。</w:t>
      </w:r>
      <w:r/>
    </w:p>
    <w:p>
      <w:pPr>
        <w:pStyle w:val="747"/>
        <w:ind w:firstLine="560"/>
        <w:spacing w:line="560" w:lineRule="exact"/>
        <w:rPr>
          <w:rFonts w:hint="eastAsia" w:ascii="方正黑体_GBK" w:hAnsi="方正黑体_GBK" w:eastAsia="方正黑体_GBK" w:cs="方正黑体_GBK"/>
          <w:color w:val="000000" w:themeColor="text1"/>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highlight w:val="none"/>
          <w:shd w:val="clear" w:color="auto" w:fill="ffffff"/>
          <w14:textFill>
            <w14:solidFill>
              <w14:schemeClr w14:val="tx1"/>
            </w14:solidFill>
          </w14:textFill>
        </w:rPr>
        <w:t xml:space="preserve">二、后果 </w:t>
      </w:r>
      <w:r/>
    </w:p>
    <w:p>
      <w:pPr>
        <w:pStyle w:val="747"/>
        <w:ind w:firstLine="560"/>
        <w:spacing w:line="560" w:lineRule="exact"/>
        <w:rPr>
          <w:rFonts w:hint="eastAsia" w:ascii="方正仿宋_GB2312" w:hAnsi="方正仿宋_GB2312" w:eastAsia="方正仿宋_GB2312" w:cs="方正仿宋_GB2312"/>
          <w:color w:val="000000" w:themeColor="text1"/>
          <w:highlight w:val="none"/>
          <w14:textFill>
            <w14:solidFill>
              <w14:schemeClr w14:val="tx1"/>
            </w14:solidFill>
          </w14:textFill>
        </w:rPr>
      </w:pPr>
      <w:r>
        <w:rPr>
          <w:rFonts w:hint="eastAsia" w:ascii="方正仿宋_GB2312" w:hAnsi="方正仿宋_GB2312" w:eastAsia="方正仿宋_GB2312" w:cs="方正仿宋_GB2312"/>
          <w:color w:val="000000" w:themeColor="text1"/>
          <w:highlight w:val="none"/>
          <w:shd w:val="clear" w:color="auto" w:fill="ffffff"/>
          <w14:textFill>
            <w14:solidFill>
              <w14:schemeClr w14:val="tx1"/>
            </w14:solidFill>
          </w14:textFill>
        </w:rPr>
        <w:t xml:space="preserve">按照《</w:t>
      </w:r>
      <w:r>
        <w:rPr>
          <w:rFonts w:hint="eastAsia" w:ascii="方正仿宋_GB2312" w:hAnsi="方正仿宋_GB2312" w:eastAsia="方正仿宋_GB2312" w:cs="方正仿宋_GB2312"/>
          <w:color w:val="000000" w:themeColor="text1"/>
          <w:highlight w:val="none"/>
          <w:shd w:val="clear" w:color="auto" w:fill="ffffff"/>
          <w:lang w:eastAsia="zh-CN"/>
          <w14:textFill>
            <w14:solidFill>
              <w14:schemeClr w14:val="tx1"/>
            </w14:solidFill>
          </w14:textFill>
        </w:rPr>
        <w:t xml:space="preserve">中华人民共和国政府采购法</w:t>
      </w:r>
      <w:r>
        <w:rPr>
          <w:rFonts w:hint="eastAsia" w:ascii="方正仿宋_GB2312" w:hAnsi="方正仿宋_GB2312" w:eastAsia="方正仿宋_GB2312" w:cs="方正仿宋_GB2312"/>
          <w:color w:val="000000" w:themeColor="text1"/>
          <w:highlight w:val="none"/>
          <w:shd w:val="clear" w:color="auto" w:fill="ffffff"/>
          <w14:textFill>
            <w14:solidFill>
              <w14:schemeClr w14:val="tx1"/>
            </w14:solidFill>
          </w14:textFill>
        </w:rPr>
        <w:t xml:space="preserve">》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72"/>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72"/>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r>
      <w:r/>
    </w:p>
    <w:p>
      <w:pPr>
        <w:pStyle w:val="815"/>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r>
      <w:r/>
    </w:p>
    <w:p>
      <w:pPr>
        <w:pStyle w:val="815"/>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r>
      <w:r/>
    </w:p>
    <w:p>
      <w:pPr>
        <w:pStyle w:val="815"/>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r>
      <w:r/>
    </w:p>
    <w:p>
      <w:pPr>
        <w:pStyle w:val="815"/>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r>
      <w:r/>
    </w:p>
    <w:p>
      <w:pPr>
        <w:pStyle w:val="815"/>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r>
      <w:r/>
    </w:p>
    <w:p>
      <w:pPr>
        <w:pStyle w:val="815"/>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eastAsia="zh-CN"/>
          <w14:textFill>
            <w14:solidFill>
              <w14:schemeClr w14:val="tx1"/>
            </w14:solidFill>
          </w14:textFill>
        </w:rPr>
        <w:t xml:space="preserve">江南大学附属医院</w:t>
      </w:r>
      <w:r>
        <w:rPr>
          <w:rFonts w:hint="eastAsia" w:ascii="宋体" w:hAnsi="宋体"/>
          <w:color w:val="000000" w:themeColor="text1"/>
          <w:sz w:val="24"/>
          <w:szCs w:val="24"/>
          <w:highlight w:val="none"/>
          <w14:textFill>
            <w14:solidFill>
              <w14:schemeClr w14:val="tx1"/>
            </w14:solidFill>
          </w14:textFill>
        </w:rPr>
        <w:t xml:space="preserve">的委托，无锡市卫生健康综合服务中心就</w:t>
      </w:r>
      <w:r>
        <w:rPr>
          <w:rFonts w:hint="eastAsia" w:ascii="宋体" w:hAnsi="宋体"/>
          <w:color w:val="000000" w:themeColor="text1"/>
          <w:sz w:val="24"/>
          <w:szCs w:val="24"/>
          <w:highlight w:val="none"/>
          <w:u w:val="single"/>
          <w:lang w:eastAsia="zh-CN"/>
          <w14:textFill>
            <w14:solidFill>
              <w14:schemeClr w14:val="tx1"/>
            </w14:solidFill>
          </w14:textFill>
        </w:rPr>
        <w:t xml:space="preserve">江南大学附属医院胃肠镜主机、高清电子胃镜、高清电子肠镜项目</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u w:val="single"/>
          <w:lang w:eastAsia="zh-CN"/>
          <w14:textFill>
            <w14:solidFill>
              <w14:schemeClr w14:val="tx1"/>
            </w14:solidFill>
          </w14:textFill>
        </w:rPr>
        <w:t xml:space="preserve">JSZC-320200-XWJC-G2025-0117</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14:textFill>
            <w14:solidFill>
              <w14:schemeClr w14:val="tx1"/>
            </w14:solidFill>
          </w14:textFill>
        </w:rPr>
        <w:t xml:space="preserve">江南大学附属医院胃肠镜主机、高清电子胃镜、高清电子肠镜项目</w:t>
      </w:r>
      <w:r>
        <w:rPr>
          <w:rFonts w:hint="eastAsia" w:ascii="宋体" w:hAnsi="宋体"/>
          <w:color w:val="000000" w:themeColor="text1"/>
          <w:sz w:val="24"/>
          <w:szCs w:val="24"/>
          <w:highlight w:val="non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下载的方式依法获取招标文件，并于202</w:t>
      </w: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lang w:val="en-US" w:eastAsia="zh-CN"/>
          <w14:textFill>
            <w14:solidFill>
              <w14:schemeClr w14:val="tx1"/>
            </w14:solidFill>
          </w14:textFill>
        </w:rPr>
        <w:t xml:space="preserve">12月19日13点30分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731"/>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6" w:name="_Toc28359079"/>
      <w:r/>
      <w:bookmarkStart w:id="7" w:name="_Toc35393790"/>
      <w:r/>
      <w:bookmarkStart w:id="8" w:name="_Toc38985263"/>
      <w:r/>
      <w:bookmarkStart w:id="9" w:name="_Toc35393621"/>
      <w:r/>
      <w:bookmarkStart w:id="10" w:name="_Toc28359002"/>
      <w:r/>
      <w:bookmarkStart w:id="11" w:name="_Hlk24379207"/>
      <w:r>
        <w:rPr>
          <w:rFonts w:hint="eastAsia"/>
          <w:color w:val="000000" w:themeColor="text1"/>
          <w:sz w:val="30"/>
          <w:szCs w:val="30"/>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JSZC-320200-XWJC-G2025-0117</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bookmarkEnd w:id="11"/>
      <w:r>
        <w:rPr>
          <w:rFonts w:hint="eastAsia" w:ascii="宋体" w:hAnsi="宋体"/>
          <w:color w:val="000000" w:themeColor="text1"/>
          <w:sz w:val="24"/>
          <w:szCs w:val="24"/>
          <w:highlight w:val="none"/>
          <w:lang w:eastAsia="zh-CN"/>
          <w14:textFill>
            <w14:solidFill>
              <w14:schemeClr w14:val="tx1"/>
            </w14:solidFill>
          </w14:textFill>
        </w:rPr>
        <w:t xml:space="preserve">江南大学附属医院胃肠镜主机、高清电子胃镜、高清电子肠镜项目</w:t>
      </w:r>
      <w:r/>
    </w:p>
    <w:p>
      <w:pPr>
        <w:ind w:firstLine="480"/>
        <w:spacing w:line="5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w:t>
      </w:r>
      <w:r>
        <w:rPr>
          <w:rFonts w:hint="eastAsia" w:ascii="宋体" w:hAnsi="宋体" w:cs="宋体"/>
          <w:color w:val="000000" w:themeColor="text1"/>
          <w:sz w:val="24"/>
          <w:szCs w:val="24"/>
          <w:highlight w:val="none"/>
          <w14:textFill>
            <w14:solidFill>
              <w14:schemeClr w14:val="tx1"/>
            </w14:solidFill>
          </w14:textFill>
        </w:rPr>
        <w:t xml:space="preserve">算金额：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349</w:t>
      </w:r>
      <w:r>
        <w:rPr>
          <w:rFonts w:hint="eastAsia" w:ascii="宋体" w:hAnsi="宋体" w:cs="宋体"/>
          <w:color w:val="000000" w:themeColor="text1"/>
          <w:sz w:val="24"/>
          <w:szCs w:val="24"/>
          <w:highlight w:val="none"/>
          <w14:textFill>
            <w14:solidFill>
              <w14:schemeClr w14:val="tx1"/>
            </w14:solidFill>
          </w14:textFill>
        </w:rPr>
        <w:t xml:space="preserve">万元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/（胃肠镜主机：100万元/台，高清电子胃镜：99.6万元/2根，高清电子肠镜：149.4万元/3根）</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4.项目最高限价：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322.8万</w:t>
      </w:r>
      <w:r>
        <w:rPr>
          <w:rFonts w:hint="eastAsia" w:ascii="宋体" w:hAnsi="宋体" w:cs="宋体"/>
          <w:color w:val="000000" w:themeColor="text1"/>
          <w:sz w:val="24"/>
          <w:szCs w:val="24"/>
          <w:highlight w:val="none"/>
          <w14:textFill>
            <w14:solidFill>
              <w14:schemeClr w14:val="tx1"/>
            </w14:solidFill>
          </w14:textFill>
        </w:rPr>
        <w:t xml:space="preserve">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7.采购方式：公开招标（暗标）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8.本项目</w:t>
      </w:r>
      <w:r>
        <w:rPr>
          <w:rFonts w:hint="eastAsia" w:ascii="宋体" w:hAnsi="宋体"/>
          <w:b/>
          <w:color w:val="000000" w:themeColor="text1"/>
          <w:sz w:val="24"/>
          <w:szCs w:val="24"/>
          <w:highlight w:val="none"/>
          <w14:textFill>
            <w14:solidFill>
              <w14:schemeClr w14:val="tx1"/>
            </w14:solidFill>
          </w14:textFill>
        </w:rPr>
        <w:t xml:space="preserve">不</w:t>
      </w:r>
      <w:r>
        <w:rPr>
          <w:rFonts w:hint="eastAsia" w:ascii="宋体" w:hAnsi="宋体"/>
          <w:color w:val="000000" w:themeColor="text1"/>
          <w:sz w:val="24"/>
          <w:szCs w:val="24"/>
          <w:highlight w:val="none"/>
          <w14:textFill>
            <w14:solidFill>
              <w14:schemeClr w14:val="tx1"/>
            </w14:solidFill>
          </w14:textFill>
        </w:rPr>
        <w:t xml:space="preserve">接受联合体投标。</w:t>
      </w:r>
      <w:r/>
    </w:p>
    <w:p>
      <w:pPr>
        <w:pStyle w:val="731"/>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2" w:name="_Toc35393791"/>
      <w:r/>
      <w:bookmarkStart w:id="13" w:name="_Toc28359080"/>
      <w:r/>
      <w:bookmarkStart w:id="14" w:name="_Toc35393622"/>
      <w:r/>
      <w:bookmarkStart w:id="15" w:name="_Toc38985264"/>
      <w:r/>
      <w:bookmarkStart w:id="16" w:name="_Toc28359003"/>
      <w:r>
        <w:rPr>
          <w:rFonts w:hint="eastAsia"/>
          <w:color w:val="000000" w:themeColor="text1"/>
          <w:sz w:val="30"/>
          <w:szCs w:val="30"/>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7" w:name="_Toc28359004"/>
      <w:r/>
      <w:bookmarkStart w:id="18" w:name="_Toc28359081"/>
      <w:r/>
      <w:bookmarkStart w:id="19" w:name="_Toc35393792"/>
      <w:r/>
      <w:bookmarkStart w:id="20" w:name="_Toc38985265"/>
      <w:r/>
      <w:bookmarkStart w:id="21" w:name="_Toc35393623"/>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w:t>
      </w:r>
      <w:r>
        <w:rPr>
          <w:rFonts w:hint="eastAsia" w:ascii="宋体" w:hAnsi="宋体"/>
          <w:color w:val="000000" w:themeColor="text1"/>
          <w:sz w:val="24"/>
          <w:szCs w:val="24"/>
          <w14:textFill>
            <w14:solidFill>
              <w14:schemeClr w14:val="tx1"/>
            </w14:solidFill>
          </w14:textFill>
        </w:rPr>
        <w:t xml:space="preserve">中小企业政策：本项目非专门面向中小企业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numPr>
          <w:ilvl w:val="0"/>
          <w:numId w:val="5"/>
        </w:numPr>
        <w:ind w:firstLine="480"/>
        <w:spacing w:line="50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本项目的特定资格要求：</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 所投产品有效完整的医疗器械注册证或备案凭证</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3.1.1一类医疗器械：所投产品的备案凭证</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3.1.2二类、三类医疗器械：中华人民共和国医疗器械注册证</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3.3投标人医疗器械企业经营许可证或备案凭证</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3.3.1一类医疗器械：无需</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3.3.3三类医疗器械：投标人医疗器械经营许可证。</w:t>
      </w:r>
      <w:r/>
    </w:p>
    <w:p>
      <w:pPr>
        <w:pStyle w:val="731"/>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本招标文件有效获取期限以本项目招标公告中规定的获取招标文件时间为准。</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w:t>
      </w:r>
      <w:r/>
    </w:p>
    <w:p>
      <w:pPr>
        <w:ind w:firstLine="540"/>
        <w:spacing w:line="500" w:lineRule="exact"/>
        <w:rPr>
          <w:rStyle w:val="786"/>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731"/>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四、提交投标文件</w:t>
      </w:r>
      <w:bookmarkEnd w:id="22"/>
      <w:r/>
      <w:bookmarkEnd w:id="23"/>
      <w:r>
        <w:rPr>
          <w:rFonts w:hint="eastAsia"/>
          <w:color w:val="000000" w:themeColor="text1"/>
          <w:sz w:val="30"/>
          <w:szCs w:val="30"/>
          <w:highlight w:val="none"/>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202</w:t>
      </w: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lang w:val="en-US" w:eastAsia="zh-CN"/>
          <w14:textFill>
            <w14:solidFill>
              <w14:schemeClr w14:val="tx1"/>
            </w14:solidFill>
          </w14:textFill>
        </w:rPr>
        <w:t xml:space="preserve">12月19日</w:t>
      </w:r>
      <w:r>
        <w:rPr>
          <w:rFonts w:hint="eastAsia" w:ascii="宋体" w:hAnsi="宋体"/>
          <w:bCs/>
          <w:color w:val="000000" w:themeColor="text1"/>
          <w:sz w:val="24"/>
          <w:szCs w:val="24"/>
          <w:highlight w:val="none"/>
          <w:lang w:val="en-US" w:eastAsia="zh-CN"/>
          <w14:textFill>
            <w14:solidFill>
              <w14:schemeClr w14:val="tx1"/>
            </w14:solidFill>
          </w14:textFill>
        </w:rPr>
        <w:t xml:space="preserve">13点30分</w:t>
      </w:r>
      <w:r>
        <w:rPr>
          <w:rFonts w:hint="eastAsia" w:ascii="宋体" w:hAnsi="宋体"/>
          <w:bCs/>
          <w:color w:val="000000" w:themeColor="text1"/>
          <w:sz w:val="24"/>
          <w:szCs w:val="24"/>
          <w:highlight w:val="non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731"/>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27" w:name="_Toc28359007"/>
      <w:r/>
      <w:bookmarkStart w:id="28" w:name="_Toc35393625"/>
      <w:r/>
      <w:bookmarkStart w:id="29" w:name="_Toc35393794"/>
      <w:r/>
      <w:bookmarkStart w:id="30" w:name="_Toc28359084"/>
      <w:r/>
      <w:bookmarkStart w:id="31" w:name="_Toc38985267"/>
      <w:r>
        <w:rPr>
          <w:rFonts w:hint="eastAsia"/>
          <w:color w:val="000000" w:themeColor="text1"/>
          <w:sz w:val="30"/>
          <w:szCs w:val="30"/>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32" w:name="_Toc35393626"/>
      <w:r/>
      <w:bookmarkStart w:id="33" w:name="_Toc35393795"/>
      <w:r/>
      <w:bookmarkStart w:id="34" w:name="_Toc38985268"/>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731"/>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731"/>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35" w:name="_Toc35393796"/>
      <w:r/>
      <w:bookmarkStart w:id="36" w:name="_Toc35393627"/>
      <w:r/>
      <w:bookmarkStart w:id="37" w:name="_Toc38985269"/>
      <w:r/>
      <w:bookmarkStart w:id="38" w:name="_Toc28359008"/>
      <w:r/>
      <w:bookmarkStart w:id="39" w:name="_Toc28359085"/>
      <w:r>
        <w:rPr>
          <w:rFonts w:hint="eastAsia"/>
          <w:color w:val="000000" w:themeColor="text1"/>
          <w:sz w:val="30"/>
          <w:szCs w:val="30"/>
          <w:highlight w:val="none"/>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江南大学附属医院</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址：无锡市滨湖区和风路1000号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09"/>
      <w:r/>
      <w:bookmarkStart w:id="41" w:name="_Toc28359086"/>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采购人项目咨询联系人：联系人姓名：</w:t>
      </w:r>
      <w:r>
        <w:rPr>
          <w:rFonts w:hint="eastAsia" w:ascii="宋体" w:hAnsi="宋体" w:cs="宋体"/>
          <w:color w:val="000000" w:themeColor="text1"/>
          <w:sz w:val="24"/>
          <w:szCs w:val="24"/>
          <w:highlight w:val="none"/>
          <w:lang w:eastAsia="zh-CN"/>
          <w14:textFill>
            <w14:solidFill>
              <w14:schemeClr w14:val="tx1"/>
            </w14:solidFill>
          </w14:textFill>
        </w:rPr>
        <w:t xml:space="preserve">林老师</w:t>
      </w:r>
      <w:r>
        <w:rPr>
          <w:rFonts w:hint="eastAsia" w:ascii="宋体" w:hAnsi="宋体" w:cs="宋体"/>
          <w:color w:val="000000" w:themeColor="text1"/>
          <w:sz w:val="24"/>
          <w:szCs w:val="24"/>
          <w:highlight w:val="none"/>
          <w14:textFill>
            <w14:solidFill>
              <w14:schemeClr w14:val="tx1"/>
            </w14:solidFill>
          </w14:textFill>
        </w:rPr>
        <w:t xml:space="preserve">；电话：</w:t>
      </w:r>
      <w:r>
        <w:rPr>
          <w:rFonts w:ascii="宋体" w:hAnsi="宋体" w:cs="宋体"/>
          <w:color w:val="000000" w:themeColor="text1"/>
          <w:sz w:val="24"/>
          <w:szCs w:val="24"/>
          <w:highlight w:val="none"/>
          <w14:textFill>
            <w14:solidFill>
              <w14:schemeClr w14:val="tx1"/>
            </w14:solidFill>
          </w14:textFill>
        </w:rPr>
        <w:t xml:space="preserve">0510-68089116</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采购人质疑受理联系人：受理人姓名：</w:t>
      </w:r>
      <w:r>
        <w:rPr>
          <w:rFonts w:hint="eastAsia" w:ascii="宋体" w:hAnsi="宋体" w:cs="宋体"/>
          <w:color w:val="000000" w:themeColor="text1"/>
          <w:sz w:val="24"/>
          <w:szCs w:val="24"/>
          <w:highlight w:val="none"/>
          <w:lang w:eastAsia="zh-CN"/>
          <w14:textFill>
            <w14:solidFill>
              <w14:schemeClr w14:val="tx1"/>
            </w14:solidFill>
          </w14:textFill>
        </w:rPr>
        <w:t xml:space="preserve">林老师</w:t>
      </w:r>
      <w:r>
        <w:rPr>
          <w:rFonts w:hint="eastAsia" w:ascii="宋体" w:hAnsi="宋体" w:cs="宋体"/>
          <w:color w:val="000000" w:themeColor="text1"/>
          <w:sz w:val="24"/>
          <w:szCs w:val="24"/>
          <w:highlight w:val="none"/>
          <w14:textFill>
            <w14:solidFill>
              <w14:schemeClr w14:val="tx1"/>
            </w14:solidFill>
          </w14:textFill>
        </w:rPr>
        <w:t xml:space="preserve">；电话：</w:t>
      </w:r>
      <w:r>
        <w:rPr>
          <w:rFonts w:ascii="宋体" w:hAnsi="宋体" w:cs="宋体"/>
          <w:color w:val="000000" w:themeColor="text1"/>
          <w:sz w:val="24"/>
          <w:szCs w:val="24"/>
          <w:highlight w:val="none"/>
          <w14:textFill>
            <w14:solidFill>
              <w14:schemeClr w14:val="tx1"/>
            </w14:solidFill>
          </w14:textFill>
        </w:rPr>
        <w:t xml:space="preserve">0510-68089116</w:t>
      </w:r>
      <w:r/>
    </w:p>
    <w:p>
      <w:pPr>
        <w:ind w:firstLine="480"/>
        <w:spacing w:line="5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无锡市卫生健康综合服务中心项目联系人：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孙</w:t>
      </w:r>
      <w:r>
        <w:rPr>
          <w:rFonts w:hint="eastAsia" w:ascii="宋体" w:hAnsi="宋体" w:cs="宋体"/>
          <w:color w:val="000000" w:themeColor="text1"/>
          <w:sz w:val="24"/>
          <w:szCs w:val="24"/>
          <w:highlight w:val="none"/>
          <w14:textFill>
            <w14:solidFill>
              <w14:schemeClr w14:val="tx1"/>
            </w14:solidFill>
          </w14:textFill>
        </w:rPr>
        <w:t xml:space="preserve">老师；电话：</w:t>
      </w:r>
      <w:r>
        <w:rPr>
          <w:rFonts w:hint="eastAsia" w:ascii="宋体" w:hAnsi="宋体" w:cs="宋体"/>
          <w:color w:val="000000" w:themeColor="text1"/>
          <w:sz w:val="24"/>
          <w:szCs w:val="24"/>
          <w:highlight w:val="none"/>
          <w:lang w:eastAsia="zh-CN"/>
          <w14:textFill>
            <w14:solidFill>
              <w14:schemeClr w14:val="tx1"/>
            </w14:solidFill>
          </w14:textFill>
        </w:rPr>
        <w:t xml:space="preserve">0510-85757946</w:t>
      </w:r>
      <w:r/>
    </w:p>
    <w:p>
      <w:pPr>
        <w:pStyle w:val="731"/>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号楼二楼</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号窗口</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“苏采云”系统账号登录</w:t>
      </w:r>
      <w:r>
        <w:rPr>
          <w:rFonts w:ascii="宋体" w:hAnsi="宋体"/>
          <w:color w:val="000000" w:themeColor="text1"/>
          <w:sz w:val="24"/>
          <w:szCs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下载地址：</w:t>
      </w:r>
      <w:r>
        <w:rPr>
          <w:rFonts w:hint="eastAsia" w:ascii="宋体" w:hAnsi="宋体"/>
          <w:color w:val="000000" w:themeColor="text1"/>
          <w:sz w:val="24"/>
          <w:szCs w:val="24"/>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731"/>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47" w:name="_Toc120614214"/>
      <w:r/>
      <w:bookmarkStart w:id="48" w:name="_Toc16938519"/>
      <w:r/>
      <w:bookmarkStart w:id="49" w:name="_Toc20823275"/>
      <w:r/>
      <w:bookmarkStart w:id="50" w:name="_Toc513029203"/>
      <w:r>
        <w:rPr>
          <w:rFonts w:hint="eastAsia"/>
          <w:color w:val="000000" w:themeColor="text1"/>
          <w:sz w:val="30"/>
          <w:szCs w:val="30"/>
          <w:highlight w:val="none"/>
          <w14:textFill>
            <w14:solidFill>
              <w14:schemeClr w14:val="tx1"/>
            </w14:solidFill>
          </w14:textFill>
        </w:rPr>
        <w:t xml:space="preserve">一、总则</w:t>
      </w:r>
      <w:bookmarkEnd w:id="47"/>
      <w:r/>
      <w:bookmarkEnd w:id="48"/>
      <w:r/>
      <w:bookmarkEnd w:id="49"/>
      <w:r/>
      <w:bookmarkEnd w:id="50"/>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themeColor="text1"/>
          <w:highlight w:val="none"/>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5" w:name="_Toc20823277"/>
      <w:r/>
      <w:bookmarkStart w:id="56" w:name="_Toc513029205"/>
      <w:r/>
      <w:bookmarkStart w:id="57" w:name="_Toc16938521"/>
      <w:r>
        <w:rPr>
          <w:rFonts w:hint="eastAsia" w:ascii="宋体" w:hAnsi="宋体" w:eastAsia="宋体"/>
          <w:bCs w:val="0"/>
          <w:color w:val="000000" w:themeColor="text1"/>
          <w:highlight w:val="none"/>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none"/>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8" w:name="_Toc20823278"/>
      <w:r/>
      <w:bookmarkStart w:id="59" w:name="_Toc513029206"/>
      <w:r/>
      <w:bookmarkStart w:id="60" w:name="_Toc16938522"/>
      <w:r>
        <w:rPr>
          <w:rFonts w:hint="eastAsia" w:ascii="宋体" w:hAnsi="宋体" w:eastAsia="宋体"/>
          <w:bCs w:val="0"/>
          <w:color w:val="000000" w:themeColor="text1"/>
          <w:highlight w:val="none"/>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highlight w:val="none"/>
          <w14:textFill>
            <w14:solidFill>
              <w14:schemeClr w14:val="tx1"/>
            </w14:solidFill>
          </w14:textFill>
        </w:rPr>
        <w:t xml:space="preserve">。</w:t>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61" w:name="_Toc462564067"/>
      <w:r/>
      <w:bookmarkStart w:id="62" w:name="_Toc16938523"/>
      <w:r/>
      <w:bookmarkStart w:id="63" w:name="_Toc20823279"/>
      <w:r/>
      <w:bookmarkStart w:id="64" w:name="_Toc513029207"/>
      <w:r>
        <w:rPr>
          <w:rFonts w:hint="eastAsia" w:ascii="宋体" w:hAnsi="宋体" w:eastAsia="宋体"/>
          <w:bCs w:val="0"/>
          <w:color w:val="000000" w:themeColor="text1"/>
          <w:highlight w:val="none"/>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4.2本次招标标书工本费、中标服务费、招标文件均免费。</w:t>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投标人一旦参加本项目采购活动，即被认为接受了本招标文件的规定和约束。</w:t>
      </w:r>
      <w:r/>
    </w:p>
    <w:p>
      <w:pPr>
        <w:pStyle w:val="731"/>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65" w:name="_Toc16938525"/>
      <w:r/>
      <w:bookmarkStart w:id="66" w:name="_Toc20823281"/>
      <w:r/>
      <w:bookmarkStart w:id="67" w:name="_Toc120614215"/>
      <w:r/>
      <w:bookmarkStart w:id="68" w:name="_Toc513029209"/>
      <w:r>
        <w:rPr>
          <w:rFonts w:hint="eastAsia"/>
          <w:color w:val="000000" w:themeColor="text1"/>
          <w:sz w:val="30"/>
          <w:szCs w:val="30"/>
          <w:highlight w:val="none"/>
          <w14:textFill>
            <w14:solidFill>
              <w14:schemeClr w14:val="tx1"/>
            </w14:solidFill>
          </w14:textFill>
        </w:rPr>
        <w:t xml:space="preserve">二、招标文件</w:t>
      </w:r>
      <w:bookmarkEnd w:id="65"/>
      <w:r/>
      <w:bookmarkEnd w:id="66"/>
      <w:r/>
      <w:bookmarkEnd w:id="67"/>
      <w:r/>
      <w:bookmarkEnd w:id="68"/>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69" w:name="_Toc16938526"/>
      <w:r/>
      <w:bookmarkStart w:id="70" w:name="_Toc20823282"/>
      <w:r/>
      <w:bookmarkStart w:id="71" w:name="_Toc513029210"/>
      <w:r>
        <w:rPr>
          <w:rFonts w:hint="eastAsia" w:ascii="宋体" w:hAnsi="宋体" w:eastAsia="宋体"/>
          <w:bCs w:val="0"/>
          <w:color w:val="000000" w:themeColor="text1"/>
          <w:highlight w:val="none"/>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p>
    <w:p>
      <w:pPr>
        <w:ind w:firstLine="480"/>
        <w:spacing w:line="500" w:lineRule="exact"/>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72" w:name="_Toc20823283"/>
      <w:r/>
      <w:bookmarkStart w:id="73" w:name="_Toc16938527"/>
      <w:r/>
      <w:bookmarkStart w:id="74" w:name="_Toc513029211"/>
      <w:r/>
      <w:bookmarkStart w:id="75" w:name="_Toc462564070"/>
      <w:r>
        <w:rPr>
          <w:rFonts w:hint="eastAsia" w:ascii="宋体" w:hAnsi="宋体" w:eastAsia="宋体"/>
          <w:bCs w:val="0"/>
          <w:color w:val="000000" w:themeColor="text1"/>
          <w:highlight w:val="none"/>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ascii="宋体" w:hAnsi="宋体"/>
          <w:bCs/>
          <w:color w:val="000000" w:themeColor="text1"/>
          <w:sz w:val="24"/>
          <w:highlight w:val="none"/>
          <w14:textFill>
            <w14:solidFill>
              <w14:schemeClr w14:val="tx1"/>
            </w14:solidFill>
          </w14:textFill>
        </w:rPr>
      </w:pPr>
      <w:r/>
      <w:bookmarkStart w:id="76" w:name="_Toc462564071"/>
      <w:r/>
      <w:bookmarkStart w:id="77" w:name="_Toc16938528"/>
      <w:r/>
      <w:bookmarkStart w:id="78" w:name="_Toc513029212"/>
      <w:r/>
      <w:bookmarkStart w:id="79" w:name="_Toc20823284"/>
      <w:r>
        <w:rPr>
          <w:rFonts w:hint="eastAsia" w:ascii="宋体" w:hAnsi="宋体"/>
          <w:bCs/>
          <w:color w:val="000000" w:themeColor="text1"/>
          <w:sz w:val="24"/>
          <w:highlight w:val="none"/>
          <w14:textFill>
            <w14:solidFill>
              <w14:schemeClr w14:val="tx1"/>
            </w14:solidFill>
          </w14:textFill>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w:t>
      </w:r>
      <w:r>
        <w:rPr>
          <w:rFonts w:hint="eastAsia" w:ascii="宋体" w:hAnsi="宋体"/>
          <w:bCs/>
          <w:color w:val="000000" w:themeColor="text1"/>
          <w:sz w:val="24"/>
          <w:szCs w:val="24"/>
          <w:highlight w:val="none"/>
          <w14:textFill>
            <w14:solidFill>
              <w14:schemeClr w14:val="tx1"/>
            </w14:solidFill>
          </w14:textFill>
        </w:rPr>
        <w:t xml:space="preserve">如需对招标文件进行澄清或修改，无锡市卫生健康综合服务中心将在</w:t>
      </w:r>
      <w:r>
        <w:rPr>
          <w:rFonts w:hint="eastAsia" w:ascii="宋体" w:hAnsi="宋体"/>
          <w:bCs/>
          <w:color w:val="000000" w:themeColor="text1"/>
          <w:sz w:val="24"/>
          <w:szCs w:val="24"/>
          <w:highlight w:val="none"/>
          <w:lang w:val="en-US" w:eastAsia="zh-CN"/>
          <w14:textFill>
            <w14:solidFill>
              <w14:schemeClr w14:val="tx1"/>
            </w14:solidFill>
          </w14:textFill>
        </w:rPr>
        <w:t xml:space="preserve">江苏</w:t>
      </w:r>
      <w:r>
        <w:rPr>
          <w:rFonts w:hint="eastAsia" w:ascii="宋体" w:hAnsi="宋体"/>
          <w:bCs/>
          <w:color w:val="000000" w:themeColor="text1"/>
          <w:sz w:val="24"/>
          <w:szCs w:val="24"/>
          <w:highlight w:val="none"/>
          <w14:textFill>
            <w14:solidFill>
              <w14:schemeClr w14:val="tx1"/>
            </w14:solidFill>
          </w14:textFill>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或未</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731"/>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80" w:name="_Toc513029213"/>
      <w:r/>
      <w:bookmarkStart w:id="81" w:name="_Toc120614216"/>
      <w:r/>
      <w:bookmarkStart w:id="82" w:name="_Toc16938529"/>
      <w:r/>
      <w:bookmarkStart w:id="83" w:name="_Toc462564072"/>
      <w:r/>
      <w:bookmarkStart w:id="84" w:name="_Toc20823285"/>
      <w:r>
        <w:rPr>
          <w:rFonts w:hint="eastAsia"/>
          <w:color w:val="000000" w:themeColor="text1"/>
          <w:sz w:val="30"/>
          <w:szCs w:val="30"/>
          <w:highlight w:val="none"/>
          <w14:textFill>
            <w14:solidFill>
              <w14:schemeClr w14:val="tx1"/>
            </w14:solidFill>
          </w14:textFill>
        </w:rPr>
        <w:t xml:space="preserve">三、投标文件的编制</w:t>
      </w:r>
      <w:bookmarkEnd w:id="80"/>
      <w:r/>
      <w:bookmarkEnd w:id="81"/>
      <w:r/>
      <w:bookmarkEnd w:id="82"/>
      <w:r/>
      <w:bookmarkEnd w:id="83"/>
      <w:r/>
      <w:bookmarkEnd w:id="84"/>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85" w:name="_Toc16938530"/>
      <w:r/>
      <w:bookmarkStart w:id="86" w:name="_Toc462564073"/>
      <w:r/>
      <w:bookmarkStart w:id="87" w:name="_Toc20823286"/>
      <w:r/>
      <w:bookmarkStart w:id="88" w:name="_Toc513029214"/>
      <w:r>
        <w:rPr>
          <w:rFonts w:hint="eastAsia" w:ascii="宋体" w:hAnsi="宋体" w:eastAsia="宋体"/>
          <w:bCs w:val="0"/>
          <w:color w:val="000000" w:themeColor="text1"/>
          <w:highlight w:val="none"/>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none"/>
          <w14:textFill>
            <w14:solidFill>
              <w14:schemeClr w14:val="tx1"/>
            </w14:solidFill>
          </w14:textFill>
        </w:rPr>
        <w:t xml:space="preserve">简体中文</w:t>
      </w:r>
      <w:r>
        <w:rPr>
          <w:rFonts w:hint="eastAsia" w:ascii="宋体" w:hAnsi="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9.2</w:t>
      </w:r>
      <w:r>
        <w:rPr>
          <w:rFonts w:hint="eastAsia" w:ascii="宋体" w:hAnsi="宋体"/>
          <w:color w:val="000000" w:themeColor="text1"/>
          <w:sz w:val="24"/>
          <w:highlight w:val="none"/>
          <w14:textFill>
            <w14:solidFill>
              <w14:schemeClr w14:val="tx1"/>
            </w14:solidFill>
          </w14:textFill>
        </w:rPr>
        <w:t xml:space="preserve">除技术性能另有规定外，投标文件所使用的度量衡单位，均须采用国家法定计量单位。</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9.3投标文件由投标人按给定格式如实填写（编写），须有法人（盖章）、法定代表人或法定代表人授权代表签字或盖章，方为有效，未尽事宜可自行补充。</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9.4如无特别说明，</w:t>
      </w:r>
      <w:r>
        <w:rPr>
          <w:rFonts w:hint="eastAsia" w:ascii="宋体" w:hAnsi="宋体"/>
          <w:bCs/>
          <w:color w:val="000000" w:themeColor="text1"/>
          <w:sz w:val="24"/>
          <w:szCs w:val="24"/>
          <w:highlight w:val="none"/>
          <w14:textFill>
            <w14:solidFill>
              <w14:schemeClr w14:val="tx1"/>
            </w14:solidFill>
          </w14:textFill>
        </w:rPr>
        <w:t xml:space="preserve">投标人报价一律以人民币为投标结算货币，结算单位为“元”。</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9.5投标文件格式部分，应由投标人按给定格式提供，不得更改。</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9.6.投标人在制作电子投标文件时，请正确关联到对应页，在评审过程中，评审专家如因在相对应页面找不到该相关联的文件，由此产生的后果由投标人自行承担。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9.7投标费用自理。</w:t>
      </w:r>
      <w:r/>
    </w:p>
    <w:p>
      <w:pPr>
        <w:ind w:firstLine="48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9.8在评分标准中除了投标报价外，还须包含明标和暗标两大部分，其暗标编制要求如下：</w:t>
      </w:r>
      <w:r/>
    </w:p>
    <w:p>
      <w:pPr>
        <w:ind w:firstLine="48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（1）暗标编制应按采购文件规定的格式制作，要求版面整洁、字迹清楚、不得涂改、不得标注。</w:t>
      </w:r>
      <w:r/>
    </w:p>
    <w:p>
      <w:pPr>
        <w:ind w:firstLine="48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暗标中均不得出现可识别供应商身份的任何字符、徽标，包括文字、符号、图案、标识、标志、人员姓名、企业名称、以往项目名称、投标人独有的标准名称或编号等，不得出现其他具有标识性作用的符号、图案等，也不得采用任何不符合常规、有别于其他供应商的特殊做法。</w:t>
      </w:r>
      <w:r/>
    </w:p>
    <w:p>
      <w:pPr>
        <w:ind w:firstLine="48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（3）字体、段落、页码、页面布局的设置：</w:t>
      </w:r>
      <w:r/>
    </w:p>
    <w:p>
      <w:pPr>
        <w:ind w:firstLine="48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字体：一级标题为宋体黑色二号字，其余正文均采用宋体黑色小四号字体，不得出现手写。</w:t>
      </w:r>
      <w:r/>
    </w:p>
    <w:p>
      <w:pPr>
        <w:ind w:firstLine="48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段落：使用1.5倍行间距、字间距标准、每段段前空两格。</w:t>
      </w:r>
      <w:r/>
    </w:p>
    <w:p>
      <w:pPr>
        <w:ind w:firstLine="48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页码：页码应当连续居中，不得有空白页。不得设置页眉，页脚只准出现页码，采用黑色小5号阿拉伯数字格式，设在页脚对中位置。</w:t>
      </w:r>
      <w:r/>
    </w:p>
    <w:p>
      <w:pPr>
        <w:ind w:firstLine="48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页面布局：纸张方向纵向、页面底色白色，分栏为一栏。</w:t>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89" w:name="_Toc20823287"/>
      <w:r/>
      <w:bookmarkStart w:id="90" w:name="_Toc513029215"/>
      <w:r/>
      <w:bookmarkStart w:id="91" w:name="_Toc462564074"/>
      <w:r/>
      <w:bookmarkStart w:id="92" w:name="_Toc16938531"/>
      <w:r>
        <w:rPr>
          <w:rFonts w:hint="eastAsia" w:ascii="宋体" w:hAnsi="宋体" w:eastAsia="宋体"/>
          <w:bCs w:val="0"/>
          <w:color w:val="000000" w:themeColor="text1"/>
          <w:highlight w:val="none"/>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服务方案、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10.2投标人所须提供的相关证明文件和要求以及投标文件的部分格式要求，详见第六章《投标文件内容与格式》。</w:t>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10.3如标书制作工具中格式和内容与招标文件不一致的，请以招标文件为准。</w:t>
      </w:r>
      <w:r/>
    </w:p>
    <w:p>
      <w:pPr>
        <w:ind w:firstLine="482"/>
        <w:spacing w:line="500" w:lineRule="exact"/>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不得有体现投标人身份的内容是指：</w:t>
      </w:r>
      <w:r/>
    </w:p>
    <w:p>
      <w:pPr>
        <w:ind w:firstLine="482"/>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10.4.1技术部分不得出现能够体现投标人身份、名称的相关描述、材料、文件等内容；</w:t>
      </w:r>
      <w:r/>
    </w:p>
    <w:p>
      <w:pPr>
        <w:ind w:firstLine="482"/>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10.4.4不得有其他体现投标人身份的内容。</w:t>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93" w:name="_Hlt26670360"/>
      <w:r/>
      <w:bookmarkEnd w:id="93"/>
      <w:r/>
      <w:bookmarkStart w:id="94" w:name="_Hlt26668975"/>
      <w:r/>
      <w:bookmarkEnd w:id="94"/>
      <w:r/>
      <w:bookmarkStart w:id="95" w:name="_Hlt26954838"/>
      <w:r/>
      <w:bookmarkEnd w:id="95"/>
      <w:r/>
      <w:bookmarkStart w:id="96" w:name="_Toc513029216"/>
      <w:r/>
      <w:bookmarkStart w:id="97" w:name="_Toc14577354"/>
      <w:r/>
      <w:bookmarkStart w:id="98" w:name="_Toc14577357"/>
      <w:r/>
      <w:bookmarkStart w:id="99" w:name="_Toc513029219"/>
      <w:r/>
      <w:bookmarkStart w:id="100" w:name="_Toc49090509"/>
      <w:r/>
      <w:bookmarkStart w:id="101" w:name="_Toc49090507"/>
      <w:r>
        <w:rPr>
          <w:rFonts w:hint="eastAsia" w:ascii="宋体" w:hAnsi="宋体" w:eastAsia="宋体"/>
          <w:bCs w:val="0"/>
          <w:color w:val="000000" w:themeColor="text1"/>
          <w:highlight w:val="none"/>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bookmarkStart w:id="102" w:name="_Toc14577355"/>
      <w:r/>
      <w:bookmarkStart w:id="103" w:name="_Toc49090508"/>
      <w:r>
        <w:rPr>
          <w:rFonts w:hint="eastAsia" w:ascii="宋体" w:hAnsi="宋体"/>
          <w:bCs/>
          <w:color w:val="000000" w:themeColor="text1"/>
          <w:sz w:val="24"/>
          <w:highlight w:val="non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highlight w:val="none"/>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w:t>
      </w:r>
      <w:r>
        <w:rPr>
          <w:rFonts w:hint="eastAsia" w:ascii="宋体" w:hAnsi="宋体"/>
          <w:color w:val="000000" w:themeColor="text1"/>
          <w:sz w:val="24"/>
          <w:highlight w:val="non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12.2对于采用货币报价的项目，开标一览表中的投标总报价应与细目报价表的总额一致，如不一致，不作为无效投标处理，但评标时按开标一览表中价格为准。</w:t>
      </w:r>
      <w:bookmarkEnd w:id="104"/>
      <w:r/>
      <w:bookmarkEnd w:id="105"/>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none"/>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13.1</w:t>
      </w:r>
      <w:r>
        <w:rPr>
          <w:rFonts w:hint="eastAsia" w:ascii="宋体" w:hAnsi="宋体"/>
          <w:color w:val="000000" w:themeColor="text1"/>
          <w:sz w:val="24"/>
          <w:highlight w:val="non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non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none"/>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w:t>
      </w:r>
      <w:r>
        <w:rPr>
          <w:rFonts w:hint="eastAsia" w:ascii="宋体" w:hAnsi="宋体"/>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 xml:space="preserve">招标文件中另有规定的按规定执行。</w:t>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8" w:name="_Hlt26670482"/>
      <w:r/>
      <w:bookmarkEnd w:id="108"/>
      <w:r/>
      <w:bookmarkStart w:id="109" w:name="_Hlt26670425"/>
      <w:r/>
      <w:bookmarkEnd w:id="109"/>
      <w:r/>
      <w:bookmarkStart w:id="110" w:name="_Hlt26668983"/>
      <w:r/>
      <w:bookmarkEnd w:id="110"/>
      <w:r/>
      <w:bookmarkStart w:id="111" w:name="_Hlt26954846"/>
      <w:r/>
      <w:bookmarkEnd w:id="111"/>
      <w:r/>
      <w:bookmarkStart w:id="112" w:name="_Hlt26670486"/>
      <w:r/>
      <w:bookmarkEnd w:id="112"/>
      <w:r/>
      <w:bookmarkStart w:id="113" w:name="_Hlt26954731"/>
      <w:r/>
      <w:bookmarkEnd w:id="113"/>
      <w:r/>
      <w:bookmarkStart w:id="114" w:name="_Hlt26670403"/>
      <w:r/>
      <w:bookmarkEnd w:id="114"/>
      <w:r/>
      <w:bookmarkStart w:id="115" w:name="_Hlt26954848"/>
      <w:r/>
      <w:bookmarkEnd w:id="115"/>
      <w:r/>
      <w:bookmarkStart w:id="116" w:name="_Hlt26954844"/>
      <w:r/>
      <w:bookmarkEnd w:id="116"/>
      <w:r/>
      <w:bookmarkStart w:id="117" w:name="_Hlt26954842"/>
      <w:r/>
      <w:bookmarkEnd w:id="117"/>
      <w:r>
        <w:rPr>
          <w:rFonts w:hint="eastAsia" w:ascii="宋体" w:hAnsi="宋体" w:eastAsia="宋体"/>
          <w:bCs w:val="0"/>
          <w:color w:val="000000" w:themeColor="text1"/>
          <w:highlight w:val="none"/>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none"/>
          <w:lang w:val="zh-CN"/>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 xml:space="preserve">14</w:t>
      </w:r>
      <w:r>
        <w:rPr>
          <w:rFonts w:hint="eastAsia" w:ascii="宋体" w:hAnsi="Arial" w:cs="宋体"/>
          <w:color w:val="000000" w:themeColor="text1"/>
          <w:sz w:val="24"/>
          <w:highlight w:val="none"/>
          <w:lang w:val="zh-CN"/>
          <w14:textFill>
            <w14:solidFill>
              <w14:schemeClr w14:val="tx1"/>
            </w14:solidFill>
          </w14:textFill>
        </w:rPr>
        <w:t xml:space="preserve">.</w:t>
      </w:r>
      <w:r>
        <w:rPr>
          <w:rFonts w:hint="eastAsia" w:ascii="宋体" w:hAnsi="Arial" w:cs="宋体"/>
          <w:color w:val="000000" w:themeColor="text1"/>
          <w:sz w:val="24"/>
          <w:highlight w:val="none"/>
          <w14:textFill>
            <w14:solidFill>
              <w14:schemeClr w14:val="tx1"/>
            </w14:solidFill>
          </w14:textFill>
        </w:rPr>
        <w:t xml:space="preserve">1</w:t>
      </w:r>
      <w:r>
        <w:rPr>
          <w:rFonts w:hint="eastAsia" w:ascii="宋体" w:hAnsi="Arial" w:cs="宋体"/>
          <w:color w:val="000000" w:themeColor="text1"/>
          <w:sz w:val="24"/>
          <w:highlight w:val="none"/>
          <w:lang w:val="zh-CN"/>
          <w14:textFill>
            <w14:solidFill>
              <w14:schemeClr w14:val="tx1"/>
            </w14:solidFill>
          </w14:textFill>
        </w:rPr>
        <w:t xml:space="preserve">投标人可在投标文件中提供认为需要的其他技术文件或说明。</w:t>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18" w:name="_Hlt26670489"/>
      <w:r/>
      <w:bookmarkEnd w:id="118"/>
      <w:r/>
      <w:bookmarkStart w:id="119" w:name="_Hlt26954850"/>
      <w:r/>
      <w:bookmarkEnd w:id="119"/>
      <w:r/>
      <w:bookmarkStart w:id="120" w:name="_Hlt26954734"/>
      <w:r/>
      <w:bookmarkEnd w:id="120"/>
      <w:r/>
      <w:bookmarkStart w:id="121" w:name="_Toc14577360"/>
      <w:r/>
      <w:bookmarkStart w:id="122" w:name="_Toc49090511"/>
      <w:r>
        <w:rPr>
          <w:rFonts w:hint="eastAsia" w:ascii="宋体" w:hAnsi="宋体" w:eastAsia="宋体"/>
          <w:bCs w:val="0"/>
          <w:color w:val="000000" w:themeColor="text1"/>
          <w:highlight w:val="none"/>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w:t>
      </w:r>
      <w:r>
        <w:rPr>
          <w:rFonts w:hint="eastAsia" w:ascii="宋体" w:hAnsi="宋体"/>
          <w:bCs/>
          <w:color w:val="000000" w:themeColor="text1"/>
          <w:sz w:val="24"/>
          <w:highlight w:val="none"/>
          <w14:textFill>
            <w14:solidFill>
              <w14:schemeClr w14:val="tx1"/>
            </w14:solidFill>
          </w14:textFill>
        </w:rPr>
        <w:t xml:space="preserve">投标有效期为招标文件规定的开标之日后</w:t>
      </w:r>
      <w:r>
        <w:rPr>
          <w:rFonts w:hint="eastAsia" w:ascii="宋体" w:hAnsi="宋体"/>
          <w:color w:val="000000" w:themeColor="text1"/>
          <w:sz w:val="24"/>
          <w:highlight w:val="none"/>
          <w14:textFill>
            <w14:solidFill>
              <w14:schemeClr w14:val="tx1"/>
            </w14:solidFill>
          </w14:textFill>
        </w:rPr>
        <w:t xml:space="preserve">九十（90）天</w:t>
      </w:r>
      <w:r>
        <w:rPr>
          <w:rFonts w:hint="eastAsia" w:ascii="宋体" w:hAnsi="宋体"/>
          <w:bCs/>
          <w:color w:val="000000" w:themeColor="text1"/>
          <w:sz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bCs/>
          <w:color w:val="000000" w:themeColor="text1"/>
          <w:sz w:val="24"/>
          <w:highlight w:val="none"/>
          <w14:textFill>
            <w14:solidFill>
              <w14:schemeClr w14:val="tx1"/>
            </w14:solidFill>
          </w14:textFill>
        </w:rPr>
        <w:t xml:space="preserve">而予以拒绝。</w:t>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w:t>
      </w:r>
      <w:r>
        <w:rPr>
          <w:rFonts w:hint="eastAsia" w:ascii="宋体" w:hAnsi="宋体"/>
          <w:bCs/>
          <w:color w:val="000000" w:themeColor="text1"/>
          <w:sz w:val="24"/>
          <w:highlight w:val="non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 xml:space="preserve">。</w:t>
      </w:r>
      <w:r/>
    </w:p>
    <w:p>
      <w:pPr>
        <w:pStyle w:val="731"/>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23" w:name="_Hlt26954852"/>
      <w:r/>
      <w:bookmarkEnd w:id="123"/>
      <w:r/>
      <w:bookmarkStart w:id="124" w:name="_Hlt26954739"/>
      <w:r/>
      <w:bookmarkEnd w:id="124"/>
      <w:r/>
      <w:bookmarkStart w:id="125" w:name="_Toc120614217"/>
      <w:r/>
      <w:bookmarkStart w:id="126" w:name="_Toc513029224"/>
      <w:r/>
      <w:bookmarkStart w:id="127" w:name="_Toc20823296"/>
      <w:r/>
      <w:bookmarkStart w:id="128" w:name="_Toc16938540"/>
      <w:r>
        <w:rPr>
          <w:rFonts w:hint="eastAsia"/>
          <w:color w:val="000000" w:themeColor="text1"/>
          <w:sz w:val="30"/>
          <w:szCs w:val="30"/>
          <w:highlight w:val="none"/>
          <w14:textFill>
            <w14:solidFill>
              <w14:schemeClr w14:val="tx1"/>
            </w14:solidFill>
          </w14:textFill>
        </w:rPr>
        <w:t xml:space="preserve">四、投标文件的递交</w:t>
      </w:r>
      <w:bookmarkEnd w:id="125"/>
      <w:r/>
      <w:bookmarkEnd w:id="126"/>
      <w:r/>
      <w:bookmarkEnd w:id="127"/>
      <w:r/>
      <w:bookmarkEnd w:id="128"/>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29" w:name="_Toc20823297"/>
      <w:r/>
      <w:bookmarkStart w:id="130" w:name="_Toc513029225"/>
      <w:r/>
      <w:bookmarkStart w:id="131" w:name="_Toc462564084"/>
      <w:r/>
      <w:bookmarkStart w:id="132" w:name="_Toc16938541"/>
      <w:r>
        <w:rPr>
          <w:rFonts w:hint="eastAsia" w:ascii="宋体" w:hAnsi="宋体" w:eastAsia="宋体"/>
          <w:bCs w:val="0"/>
          <w:color w:val="000000" w:themeColor="text1"/>
          <w:highlight w:val="none"/>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none"/>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w:t>
      </w:r>
      <w:r>
        <w:rPr>
          <w:rFonts w:hint="eastAsia" w:ascii="宋体" w:hAnsi="宋体"/>
          <w:bCs/>
          <w:color w:val="000000" w:themeColor="text1"/>
          <w:sz w:val="24"/>
          <w:highlight w:val="none"/>
          <w14:textFill>
            <w14:solidFill>
              <w14:schemeClr w14:val="tx1"/>
            </w14:solidFill>
          </w14:textFill>
        </w:rPr>
        <w:t xml:space="preserve">电子投标文件的递交</w:t>
      </w:r>
      <w:r/>
    </w:p>
    <w:p>
      <w:pPr>
        <w:pStyle w:val="826"/>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highlight w:val="none"/>
          <w14:textFill>
            <w14:solidFill>
              <w14:schemeClr w14:val="tx1"/>
            </w14:solidFill>
          </w14:textFill>
        </w:rPr>
        <w:t xml:space="preserve">制作</w:t>
      </w:r>
      <w:r>
        <w:rPr>
          <w:rFonts w:hint="eastAsia" w:ascii="宋体" w:hAnsi="宋体"/>
          <w:bCs/>
          <w:color w:val="000000" w:themeColor="text1"/>
          <w:sz w:val="24"/>
          <w:highlight w:val="none"/>
          <w14:textFill>
            <w14:solidFill>
              <w14:schemeClr w14:val="tx1"/>
            </w14:solidFill>
          </w14:textFill>
        </w:rPr>
        <w:t xml:space="preserve">并上传电子投标文件。</w:t>
      </w:r>
      <w:bookmarkStart w:id="133" w:name="_Toc20823298"/>
      <w:r/>
      <w:bookmarkStart w:id="134" w:name="_Toc16938542"/>
      <w:r/>
      <w:bookmarkStart w:id="135" w:name="_Toc513029226"/>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none"/>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w:t>
      </w:r>
      <w:r>
        <w:rPr>
          <w:rFonts w:hint="eastAsia" w:ascii="宋体" w:hAnsi="宋体"/>
          <w:bCs/>
          <w:color w:val="000000" w:themeColor="text1"/>
          <w:sz w:val="24"/>
          <w:highlight w:val="non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w:t>
      </w:r>
      <w:r>
        <w:rPr>
          <w:rFonts w:hint="eastAsia" w:ascii="宋体" w:hAnsi="宋体"/>
          <w:bCs/>
          <w:color w:val="000000" w:themeColor="text1"/>
          <w:sz w:val="24"/>
          <w:highlight w:val="none"/>
          <w:lang w:eastAsia="zh-CN"/>
          <w14:textFill>
            <w14:solidFill>
              <w14:schemeClr w14:val="tx1"/>
            </w14:solidFill>
          </w14:textFill>
        </w:rPr>
        <w:t xml:space="preserve">充分考虑</w:t>
      </w:r>
      <w:r>
        <w:rPr>
          <w:rFonts w:hint="eastAsia" w:ascii="宋体" w:hAnsi="宋体"/>
          <w:bCs/>
          <w:color w:val="000000" w:themeColor="text1"/>
          <w:sz w:val="24"/>
          <w:highlight w:val="none"/>
          <w14:textFill>
            <w14:solidFill>
              <w14:schemeClr w14:val="tx1"/>
            </w14:solidFill>
          </w14:textFill>
        </w:rPr>
        <w:t xml:space="preserve">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w:t>
      </w:r>
      <w:r>
        <w:rPr>
          <w:rFonts w:hint="eastAsia" w:ascii="宋体" w:hAnsi="宋体"/>
          <w:bCs/>
          <w:color w:val="000000" w:themeColor="text1"/>
          <w:sz w:val="24"/>
          <w:highlight w:val="non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6" w:name="_Toc16938543"/>
      <w:r/>
      <w:bookmarkStart w:id="137" w:name="_Toc513029227"/>
      <w:r/>
      <w:bookmarkStart w:id="138" w:name="_Toc20823299"/>
      <w:r>
        <w:rPr>
          <w:rFonts w:hint="eastAsia" w:ascii="宋体" w:hAnsi="宋体" w:eastAsia="宋体"/>
          <w:bCs w:val="0"/>
          <w:color w:val="000000" w:themeColor="text1"/>
          <w:highlight w:val="none"/>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none"/>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w:t>
      </w:r>
      <w:r>
        <w:rPr>
          <w:rFonts w:hint="eastAsia" w:ascii="宋体" w:hAnsi="宋体"/>
          <w:bCs/>
          <w:color w:val="000000" w:themeColor="text1"/>
          <w:sz w:val="24"/>
          <w:highlight w:val="none"/>
          <w14:textFill>
            <w14:solidFill>
              <w14:schemeClr w14:val="tx1"/>
            </w14:solidFill>
          </w14:textFill>
        </w:rPr>
        <w:t xml:space="preserve">无锡市卫生健康综合服务中心拒绝接收在其规定的投标截止时间后上传的任何投标文件。</w:t>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9" w:name="_Toc16938544"/>
      <w:r/>
      <w:bookmarkStart w:id="140" w:name="_Toc513029228"/>
      <w:r/>
      <w:bookmarkStart w:id="141" w:name="_Toc20823300"/>
      <w:r>
        <w:rPr>
          <w:rFonts w:hint="eastAsia" w:ascii="宋体" w:hAnsi="宋体" w:eastAsia="宋体"/>
          <w:bCs w:val="0"/>
          <w:color w:val="000000" w:themeColor="text1"/>
          <w:highlight w:val="none"/>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20.3</w:t>
      </w:r>
      <w:r>
        <w:rPr>
          <w:rFonts w:hint="eastAsia" w:ascii="宋体" w:hAnsi="宋体"/>
          <w:bCs/>
          <w:color w:val="000000" w:themeColor="text1"/>
          <w:sz w:val="24"/>
          <w:highlight w:val="none"/>
          <w14:textFill>
            <w14:solidFill>
              <w14:schemeClr w14:val="tx1"/>
            </w14:solidFill>
          </w14:textFill>
        </w:rPr>
        <w:t xml:space="preserve">在投标截止时间至招标文件中规定的投标有效期满之间的这段时间内，投标人不得撤回其投标。</w:t>
      </w:r>
      <w:r/>
    </w:p>
    <w:p>
      <w:pPr>
        <w:pStyle w:val="731"/>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42" w:name="_Toc20823301"/>
      <w:r/>
      <w:bookmarkStart w:id="143" w:name="_Toc513029229"/>
      <w:r/>
      <w:bookmarkStart w:id="144" w:name="_Toc120614218"/>
      <w:r/>
      <w:bookmarkStart w:id="145" w:name="_Toc16938545"/>
      <w:r>
        <w:rPr>
          <w:rFonts w:hint="eastAsia"/>
          <w:color w:val="000000" w:themeColor="text1"/>
          <w:sz w:val="30"/>
          <w:szCs w:val="30"/>
          <w:highlight w:val="none"/>
          <w14:textFill>
            <w14:solidFill>
              <w14:schemeClr w14:val="tx1"/>
            </w14:solidFill>
          </w14:textFill>
        </w:rPr>
        <w:t xml:space="preserve">五、开标与评标</w:t>
      </w:r>
      <w:bookmarkEnd w:id="142"/>
      <w:r/>
      <w:bookmarkEnd w:id="143"/>
      <w:r/>
      <w:bookmarkEnd w:id="144"/>
      <w:r/>
      <w:bookmarkEnd w:id="145"/>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6" w:name="_Toc513029230"/>
      <w:r/>
      <w:bookmarkStart w:id="147" w:name="_Toc16938546"/>
      <w:r/>
      <w:bookmarkStart w:id="148" w:name="_Toc20823302"/>
      <w:r>
        <w:rPr>
          <w:rFonts w:hint="eastAsia" w:ascii="宋体" w:hAnsi="宋体" w:eastAsia="宋体"/>
          <w:bCs w:val="0"/>
          <w:color w:val="000000" w:themeColor="text1"/>
          <w:highlight w:val="none"/>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w:t>
      </w:r>
      <w:r>
        <w:rPr>
          <w:rFonts w:hint="eastAsia" w:ascii="宋体" w:hAnsi="宋体"/>
          <w:bCs/>
          <w:color w:val="000000" w:themeColor="text1"/>
          <w:sz w:val="24"/>
          <w:highlight w:val="non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将自动对</w:t>
      </w:r>
      <w:r>
        <w:rPr>
          <w:rFonts w:ascii="宋体" w:hAnsi="宋体"/>
          <w:color w:val="000000" w:themeColor="text1"/>
          <w:sz w:val="24"/>
          <w:highlight w:val="none"/>
          <w14:textFill>
            <w14:solidFill>
              <w14:schemeClr w14:val="tx1"/>
            </w14:solidFill>
          </w14:textFill>
        </w:rPr>
        <w:t xml:space="preserve">项目进行开标，并</w:t>
      </w:r>
      <w:r>
        <w:rPr>
          <w:rFonts w:hint="eastAsia" w:ascii="宋体" w:hAnsi="宋体"/>
          <w:color w:val="000000" w:themeColor="text1"/>
          <w:sz w:val="24"/>
          <w:highlight w:val="none"/>
          <w14:textFill>
            <w14:solidFill>
              <w14:schemeClr w14:val="tx1"/>
            </w14:solidFill>
          </w14:textFill>
        </w:rPr>
        <w:t xml:space="preserve">宣布各</w:t>
      </w:r>
      <w:r>
        <w:rPr>
          <w:rFonts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中《开标记录表》宣布后5分钟内未提出的，视同认可开标结果。</w:t>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9" w:name="_Toc20823303"/>
      <w:r/>
      <w:bookmarkStart w:id="150" w:name="_Toc513029231"/>
      <w:r/>
      <w:bookmarkStart w:id="151" w:name="_Toc16938547"/>
      <w:r>
        <w:rPr>
          <w:rFonts w:hint="eastAsia" w:ascii="宋体" w:hAnsi="宋体" w:eastAsia="宋体"/>
          <w:bCs w:val="0"/>
          <w:color w:val="000000" w:themeColor="text1"/>
          <w:highlight w:val="none"/>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22.3评委会独立工作，负责评审所有投标文件并确定中标候选人。</w:t>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w:t>
      </w:r>
      <w:r>
        <w:rPr>
          <w:rFonts w:hint="eastAsia" w:ascii="宋体" w:hAnsi="宋体"/>
          <w:bCs/>
          <w:color w:val="000000" w:themeColor="text1"/>
          <w:sz w:val="24"/>
          <w:highlight w:val="non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查看自己的评审得分及排序情况。</w:t>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2" w:name="_Toc16938548"/>
      <w:r/>
      <w:bookmarkStart w:id="153" w:name="_Toc20823304"/>
      <w:r/>
      <w:bookmarkStart w:id="154" w:name="_Toc513029232"/>
      <w:r>
        <w:rPr>
          <w:rFonts w:hint="eastAsia" w:ascii="宋体" w:hAnsi="宋体" w:eastAsia="宋体"/>
          <w:bCs w:val="0"/>
          <w:color w:val="000000" w:themeColor="text1"/>
          <w:highlight w:val="none"/>
          <w14:textFill>
            <w14:solidFill>
              <w14:schemeClr w14:val="tx1"/>
            </w14:solidFill>
          </w14:textFill>
        </w:rPr>
        <w:t xml:space="preserve">24.投标文件的澄清</w:t>
      </w:r>
      <w:bookmarkEnd w:id="152"/>
      <w:r/>
      <w:bookmarkEnd w:id="153"/>
      <w:r/>
      <w:bookmarkEnd w:id="154"/>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24.3接到评委会澄清、说明和补正要求的投标人如未按规定及时作出澄清、说明和补正，其风险由投标人自行承担。</w:t>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5" w:name="_Toc16938549"/>
      <w:r/>
      <w:bookmarkStart w:id="156" w:name="_Toc513029233"/>
      <w:r/>
      <w:bookmarkStart w:id="157" w:name="_Toc20823305"/>
      <w:r>
        <w:rPr>
          <w:rFonts w:hint="eastAsia" w:ascii="宋体" w:hAnsi="宋体" w:eastAsia="宋体"/>
          <w:bCs w:val="0"/>
          <w:color w:val="000000" w:themeColor="text1"/>
          <w:highlight w:val="none"/>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hint="eastAsia" w:ascii="宋体" w:hAnsi="宋体"/>
          <w:bCs/>
          <w:color w:val="000000" w:themeColor="text1"/>
          <w:sz w:val="24"/>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none"/>
          <w14:textFill>
            <w14:solidFill>
              <w14:schemeClr w14:val="tx1"/>
            </w14:solidFill>
          </w14:textFill>
        </w:rPr>
        <w:t xml:space="preserve">通过“信用中国”网站（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non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highlight w:val="non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none"/>
          <w14:textFill>
            <w14:solidFill>
              <w14:schemeClr w14:val="tx1"/>
            </w14:solidFill>
          </w14:textFill>
        </w:rPr>
        <w:t xml:space="preserve">符合性</w:t>
      </w:r>
      <w:r>
        <w:rPr>
          <w:rFonts w:ascii="宋体" w:hAnsi="宋体"/>
          <w:bCs/>
          <w:color w:val="000000" w:themeColor="text1"/>
          <w:sz w:val="24"/>
          <w:highlight w:val="non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.3如果投标文件实质上没有响应招标文件的要求，评委会将予以拒绝，其投标文件无效，投标人不得通过修改或撤销</w:t>
      </w:r>
      <w:r>
        <w:rPr>
          <w:rFonts w:hint="eastAsia" w:ascii="宋体" w:hAnsi="宋体"/>
          <w:color w:val="000000" w:themeColor="text1"/>
          <w:sz w:val="24"/>
          <w:highlight w:val="none"/>
          <w:lang w:eastAsia="zh-CN"/>
          <w14:textFill>
            <w14:solidFill>
              <w14:schemeClr w14:val="tx1"/>
            </w14:solidFill>
          </w14:textFill>
        </w:rPr>
        <w:t xml:space="preserve">不符</w:t>
      </w:r>
      <w:r>
        <w:rPr>
          <w:rFonts w:hint="eastAsia" w:ascii="宋体" w:hAnsi="宋体"/>
          <w:color w:val="000000" w:themeColor="text1"/>
          <w:sz w:val="24"/>
          <w:highlight w:val="none"/>
          <w14:textFill>
            <w14:solidFill>
              <w14:schemeClr w14:val="tx1"/>
            </w14:solidFill>
          </w14:textFill>
        </w:rPr>
        <w:t xml:space="preserve">合要求的偏离或保留而使其投标成为实质性响应的投标。</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告知</w:t>
      </w:r>
      <w:r>
        <w:rPr>
          <w:rFonts w:ascii="宋体" w:hAnsi="宋体"/>
          <w:bCs/>
          <w:color w:val="000000" w:themeColor="text1"/>
          <w:sz w:val="24"/>
          <w:highlight w:val="none"/>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default"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25.6.1</w:t>
      </w:r>
      <w:r>
        <w:rPr>
          <w:rFonts w:hint="eastAsia" w:ascii="宋体" w:hAnsi="宋体"/>
          <w:bCs/>
          <w:color w:val="000000" w:themeColor="text1"/>
          <w:sz w:val="24"/>
          <w:highlight w:val="white"/>
          <w14:textFill>
            <w14:solidFill>
              <w14:schemeClr w14:val="tx1"/>
            </w14:solidFill>
          </w14:textFill>
        </w:rPr>
        <w:t xml:space="preserve">评标过程中出现下列情形之一的，评标委员会应当启动异常低价投标审查程序：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投标报价低于招标项目预算50%的，即投标报价&lt;招标项目预算×50%；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w:t>
      </w:r>
      <w:r>
        <w:rPr>
          <w:rFonts w:hint="eastAsia" w:ascii="宋体" w:hAnsi="宋体"/>
          <w:bCs/>
          <w:color w:val="000000" w:themeColor="text1"/>
          <w:sz w:val="24"/>
          <w:highlight w:val="white"/>
          <w14:textFill>
            <w14:solidFill>
              <w14:schemeClr w14:val="tx1"/>
            </w14:solidFill>
          </w14:textFill>
        </w:rPr>
        <w:t xml:space="preserve">投标报价低于招标项目最高限价45%的，即投标报价&lt;招标项目最高限价×45% ；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（3）评标委员会认定的投标人报价过低、有可能影响产品质量或者不能诚信履约的其他情形。</w:t>
      </w:r>
      <w:r/>
    </w:p>
    <w:p>
      <w:pPr>
        <w:ind w:firstLine="480"/>
        <w:spacing w:line="500" w:lineRule="exact"/>
        <w:rPr>
          <w:rFonts w:hint="eastAsia"/>
        </w:rPr>
      </w:pPr>
      <w:r>
        <w:rPr>
          <w:rFonts w:hint="eastAsia" w:ascii="宋体" w:hAnsi="宋体"/>
          <w:bCs/>
          <w:color w:val="000000" w:themeColor="text1"/>
          <w:sz w:val="24"/>
          <w:highlight w:val="white"/>
          <w:lang w:val="en-US" w:eastAsia="zh-CN"/>
          <w14:textFill>
            <w14:solidFill>
              <w14:schemeClr w14:val="tx1"/>
            </w14:solidFill>
          </w14:textFill>
        </w:rPr>
        <w:t xml:space="preserve">25.6.2</w:t>
      </w:r>
      <w:r>
        <w:rPr>
          <w:rFonts w:hint="eastAsia" w:ascii="宋体" w:hAnsi="宋体"/>
          <w:bCs/>
          <w:color w:val="000000" w:themeColor="text1"/>
          <w:sz w:val="24"/>
          <w:highlight w:val="white"/>
          <w14:textFill>
            <w14:solidFill>
              <w14:schemeClr w14:val="tx1"/>
            </w14:solidFill>
          </w14:textFill>
        </w:rPr>
        <w:t xml:space="preserve">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ind w:firstLine="420"/>
        <w:spacing w:line="500" w:lineRule="exact"/>
        <w:rPr>
          <w:rFonts w:hint="eastAsia" w:ascii="宋体" w:hAnsi="宋体"/>
          <w:color w:val="000000" w:themeColor="text1"/>
          <w:sz w:val="24"/>
          <w:highlight w:val="none"/>
          <w14:textFill>
            <w14:solidFill>
              <w14:schemeClr w14:val="tx1"/>
            </w14:solidFill>
          </w14:textFill>
        </w:rPr>
      </w:pPr>
      <w:r/>
      <w:bookmarkStart w:id="158" w:name="_Toc20823306"/>
      <w:r/>
      <w:bookmarkStart w:id="159" w:name="_Toc513029234"/>
      <w:r/>
      <w:bookmarkStart w:id="160" w:name="_Toc16938550"/>
      <w:r>
        <w:rPr>
          <w:rFonts w:hint="eastAsia" w:ascii="宋体" w:hAnsi="宋体"/>
          <w:color w:val="000000" w:themeColor="text1"/>
          <w:sz w:val="24"/>
          <w:highlight w:val="none"/>
          <w14:textFill>
            <w14:solidFill>
              <w14:schemeClr w14:val="tx1"/>
            </w14:solidFill>
          </w14:textFill>
        </w:rPr>
        <w:t xml:space="preserve">25.</w:t>
      </w:r>
      <w:r>
        <w:rPr>
          <w:rFonts w:hint="eastAsia" w:ascii="宋体" w:hAnsi="宋体"/>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投标人在开、评标全过程中应</w:t>
      </w:r>
      <w:r>
        <w:rPr>
          <w:rFonts w:hint="eastAsia" w:ascii="宋体" w:hAnsi="宋体"/>
          <w:color w:val="000000" w:themeColor="text1"/>
          <w:sz w:val="24"/>
          <w:highlight w:val="none"/>
          <w:lang w:eastAsia="zh-CN"/>
          <w14:textFill>
            <w14:solidFill>
              <w14:schemeClr w14:val="tx1"/>
            </w14:solidFill>
          </w14:textFill>
        </w:rPr>
        <w:t xml:space="preserve">保持通信畅通</w:t>
      </w:r>
      <w:r>
        <w:rPr>
          <w:rFonts w:hint="eastAsia" w:ascii="宋体" w:hAnsi="宋体"/>
          <w:color w:val="000000" w:themeColor="text1"/>
          <w:sz w:val="24"/>
          <w:highlight w:val="none"/>
          <w14:textFill>
            <w14:solidFill>
              <w14:schemeClr w14:val="tx1"/>
            </w14:solidFill>
          </w14:textFill>
        </w:rPr>
        <w:t xml:space="preserve">，及时登录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查阅</w:t>
      </w:r>
      <w:r>
        <w:rPr>
          <w:rFonts w:ascii="宋体" w:hAnsi="宋体"/>
          <w:color w:val="000000" w:themeColor="text1"/>
          <w:sz w:val="24"/>
          <w:highlight w:val="none"/>
          <w14:textFill>
            <w14:solidFill>
              <w14:schemeClr w14:val="tx1"/>
            </w14:solidFill>
          </w14:textFill>
        </w:rPr>
        <w:t xml:space="preserve">、答复相关</w:t>
      </w:r>
      <w:r>
        <w:rPr>
          <w:rFonts w:hint="eastAsia" w:ascii="宋体" w:hAnsi="宋体"/>
          <w:color w:val="000000" w:themeColor="text1"/>
          <w:sz w:val="24"/>
          <w:highlight w:val="none"/>
          <w14:textFill>
            <w14:solidFill>
              <w14:schemeClr w14:val="tx1"/>
            </w14:solidFill>
          </w14:textFill>
        </w:rPr>
        <w:t xml:space="preserve">信息</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并安排专人随时接受与代理机构及评标委员会的相关询问。</w:t>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none"/>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bookmarkStart w:id="161" w:name="_Toc20823307"/>
      <w:r/>
      <w:bookmarkStart w:id="162" w:name="_Toc16938551"/>
      <w:r/>
      <w:bookmarkStart w:id="163" w:name="_Toc513029235"/>
      <w:r>
        <w:rPr>
          <w:rFonts w:hint="eastAsia" w:ascii="宋体" w:hAnsi="宋体"/>
          <w:bCs/>
          <w:color w:val="000000" w:themeColor="text1"/>
          <w:sz w:val="24"/>
          <w:highlight w:val="non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w:t>
      </w:r>
      <w:r>
        <w:rPr>
          <w:rFonts w:hint="eastAsia" w:ascii="宋体" w:hAnsi="宋体"/>
          <w:bCs/>
          <w:color w:val="000000" w:themeColor="text1"/>
          <w:sz w:val="24"/>
          <w:highlight w:val="non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26.1.7</w:t>
      </w:r>
      <w:r>
        <w:rPr>
          <w:rFonts w:hint="eastAsia" w:ascii="宋体" w:hAnsi="宋体"/>
          <w:bCs/>
          <w:color w:val="000000" w:themeColor="text1"/>
          <w:sz w:val="24"/>
          <w:highlight w:val="none"/>
          <w14:textFill>
            <w14:solidFill>
              <w14:schemeClr w14:val="tx1"/>
            </w14:solidFill>
          </w14:textFill>
        </w:rPr>
        <w:t xml:space="preserve">同一投标人提交两套（含两套）以上不同的投标报价的。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26.1.8投标人被“信用中国”网站（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HYPERLINK "http://www.creditchina.gov.cn"</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 xml:space="preserve">或查询“信用中国”网站、</w:t>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项目（标项、标段、分包）投标总价超过本项目（标项、标段、分包）预算或最高限价的。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26.1.15</w:t>
      </w: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26.1.16</w:t>
      </w: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26.1.20</w:t>
      </w: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26.1.21</w:t>
      </w: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在评标现场</w:t>
      </w:r>
      <w:r>
        <w:rPr>
          <w:rFonts w:hint="eastAsia" w:ascii="宋体" w:hAnsi="宋体"/>
          <w:color w:val="000000" w:themeColor="text1"/>
          <w:sz w:val="24"/>
          <w:szCs w:val="24"/>
          <w:highlight w:val="none"/>
          <w14:textFill>
            <w14:solidFill>
              <w14:schemeClr w14:val="tx1"/>
            </w14:solidFill>
          </w14:textFill>
        </w:rPr>
        <w:t xml:space="preserve">）给定的</w:t>
      </w:r>
      <w:r>
        <w:rPr>
          <w:rFonts w:hint="eastAsia" w:ascii="宋体" w:hAnsi="宋体"/>
          <w:bCs/>
          <w:color w:val="000000" w:themeColor="text1"/>
          <w:sz w:val="24"/>
          <w:szCs w:val="24"/>
          <w:highlight w:val="none"/>
          <w14:textFill>
            <w14:solidFill>
              <w14:schemeClr w14:val="tx1"/>
            </w14:solidFill>
          </w14:textFill>
        </w:rPr>
        <w:t xml:space="preserve">合理时间内提供说明（必要时评标委员会可要求投标人提交相关证明材料）证明其报价合理性的</w:t>
      </w:r>
      <w:r>
        <w:rPr>
          <w:rFonts w:hint="eastAsia" w:ascii="宋体" w:hAnsi="宋体"/>
          <w:bCs/>
          <w:color w:val="000000" w:themeColor="text1"/>
          <w:sz w:val="24"/>
          <w:highlight w:val="none"/>
          <w14:textFill>
            <w14:solidFill>
              <w14:schemeClr w14:val="tx1"/>
            </w14:solidFill>
          </w14:textFill>
        </w:rPr>
        <w:t xml:space="preserve">，评标委员会应当将其作为无效投标处理。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26.1.23投标文件内容不全或不符合招标文件中规定</w:t>
      </w:r>
      <w:r>
        <w:rPr>
          <w:rFonts w:hint="eastAsia" w:ascii="宋体" w:hAnsi="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bCs/>
          <w:color w:val="000000" w:themeColor="text1"/>
          <w:sz w:val="24"/>
          <w:szCs w:val="24"/>
          <w:highlight w:val="none"/>
          <w14:textFill>
            <w14:solidFill>
              <w14:schemeClr w14:val="tx1"/>
            </w14:solidFill>
          </w14:textFill>
        </w:rPr>
        <w:t xml:space="preserve">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26.1.24其他法律法规及本招标文件规定的属无效投标的情形。</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26.2.3因重大变故，采购任务取消的。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26.2.5 因</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highlight w:val="none"/>
          <w14:textFill>
            <w14:solidFill>
              <w14:schemeClr w14:val="tx1"/>
            </w14:solidFill>
          </w14:textFill>
        </w:rPr>
        <w:t xml:space="preserve">故障原因造成开标不成功</w:t>
      </w:r>
      <w:r>
        <w:rPr>
          <w:rFonts w:hint="eastAsia" w:ascii="宋体" w:hAnsi="宋体"/>
          <w:bCs/>
          <w:color w:val="000000" w:themeColor="text1"/>
          <w:sz w:val="24"/>
          <w:highlight w:val="non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731"/>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64" w:name="_Toc120614219"/>
      <w:r>
        <w:rPr>
          <w:rFonts w:hint="eastAsia"/>
          <w:color w:val="000000" w:themeColor="text1"/>
          <w:sz w:val="30"/>
          <w:szCs w:val="30"/>
          <w:highlight w:val="none"/>
          <w14:textFill>
            <w14:solidFill>
              <w14:schemeClr w14:val="tx1"/>
            </w14:solidFill>
          </w14:textFill>
        </w:rPr>
        <w:t xml:space="preserve">六、</w:t>
      </w:r>
      <w:bookmarkEnd w:id="161"/>
      <w:r/>
      <w:bookmarkEnd w:id="162"/>
      <w:r/>
      <w:bookmarkEnd w:id="163"/>
      <w:r>
        <w:rPr>
          <w:rFonts w:hint="eastAsia"/>
          <w:color w:val="000000" w:themeColor="text1"/>
          <w:sz w:val="30"/>
          <w:szCs w:val="30"/>
          <w:highlight w:val="none"/>
          <w14:textFill>
            <w14:solidFill>
              <w14:schemeClr w14:val="tx1"/>
            </w14:solidFill>
          </w14:textFill>
        </w:rPr>
        <w:t xml:space="preserve">定标</w:t>
      </w:r>
      <w:bookmarkEnd w:id="164"/>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highlight w:val="non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none"/>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none"/>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w:t>
      </w:r>
      <w:r>
        <w:rPr>
          <w:rFonts w:hint="eastAsia" w:ascii="宋体" w:hAnsi="宋体"/>
          <w:color w:val="000000" w:themeColor="text1"/>
          <w:sz w:val="24"/>
          <w:szCs w:val="24"/>
          <w:highlight w:val="non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68" w:name="_Toc200451960"/>
      <w:r>
        <w:rPr>
          <w:rFonts w:hint="eastAsia" w:ascii="宋体" w:hAnsi="宋体"/>
          <w:color w:val="000000" w:themeColor="text1"/>
          <w:sz w:val="24"/>
          <w:szCs w:val="24"/>
          <w:highlight w:val="none"/>
          <w14:textFill>
            <w14:solidFill>
              <w14:schemeClr w14:val="tx1"/>
            </w14:solidFill>
          </w14:textFill>
        </w:rPr>
        <w:t xml:space="preserve">27.4.6</w:t>
      </w:r>
      <w:r>
        <w:rPr>
          <w:rFonts w:hint="eastAsia" w:ascii="宋体" w:hAnsi="宋体"/>
          <w:bCs/>
          <w:color w:val="000000" w:themeColor="text1"/>
          <w:sz w:val="24"/>
          <w:szCs w:val="24"/>
          <w:highlight w:val="non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27.4.7</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ascii="宋体" w:hAnsi="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ascii="宋体" w:hAnsi="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ascii="宋体" w:hAnsi="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none"/>
          <w14:textFill>
            <w14:solidFill>
              <w14:schemeClr w14:val="tx1"/>
            </w14:solidFill>
          </w14:textFill>
        </w:rPr>
        <w:t xml:space="preserve">（采购文件，采购过程或结果）</w:t>
      </w:r>
      <w:r>
        <w:rPr>
          <w:rFonts w:hint="eastAsia" w:ascii="宋体" w:hAnsi="宋体"/>
          <w:color w:val="000000" w:themeColor="text1"/>
          <w:sz w:val="24"/>
          <w:szCs w:val="24"/>
          <w:highlight w:val="non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w:t>
      </w:r>
      <w:r>
        <w:rPr>
          <w:rFonts w:hint="eastAsia" w:asci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28.6供应商提出书面质疑必须有理、有据，</w:t>
      </w:r>
      <w:r>
        <w:rPr>
          <w:rFonts w:hint="eastAsia" w:ascii="宋体" w:hAnsi="宋体"/>
          <w:bCs/>
          <w:color w:val="000000" w:themeColor="text1"/>
          <w:sz w:val="24"/>
          <w:highlight w:val="non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731"/>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69" w:name="_Toc16938552"/>
      <w:r/>
      <w:bookmarkStart w:id="170" w:name="_Toc120614220"/>
      <w:r/>
      <w:bookmarkStart w:id="171" w:name="_Toc20823308"/>
      <w:r/>
      <w:bookmarkStart w:id="172" w:name="_Toc513029236"/>
      <w:r>
        <w:rPr>
          <w:rFonts w:hint="eastAsia"/>
          <w:color w:val="000000" w:themeColor="text1"/>
          <w:sz w:val="30"/>
          <w:szCs w:val="30"/>
          <w:highlight w:val="none"/>
          <w14:textFill>
            <w14:solidFill>
              <w14:schemeClr w14:val="tx1"/>
            </w14:solidFill>
          </w14:textFill>
        </w:rPr>
        <w:t xml:space="preserve">七、授予合同</w:t>
      </w:r>
      <w:bookmarkEnd w:id="169"/>
      <w:r/>
      <w:bookmarkEnd w:id="170"/>
      <w:r/>
      <w:bookmarkEnd w:id="171"/>
      <w:r/>
      <w:bookmarkEnd w:id="172"/>
      <w:r/>
      <w:r/>
    </w:p>
    <w:p>
      <w:pPr>
        <w:pStyle w:val="73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73" w:name="_Toc20823309"/>
      <w:r/>
      <w:bookmarkStart w:id="174" w:name="_Toc16938553"/>
      <w:r/>
      <w:bookmarkStart w:id="175" w:name="_Toc513029237"/>
      <w:r>
        <w:rPr>
          <w:rFonts w:hint="eastAsia" w:ascii="宋体" w:hAnsi="宋体" w:eastAsia="宋体"/>
          <w:bCs w:val="0"/>
          <w:color w:val="000000" w:themeColor="text1"/>
          <w:highlight w:val="none"/>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31.</w:t>
      </w:r>
      <w:bookmarkEnd w:id="173"/>
      <w:r/>
      <w:bookmarkEnd w:id="174"/>
      <w:r/>
      <w:bookmarkEnd w:id="175"/>
      <w:r/>
      <w:bookmarkStart w:id="176" w:name="_Toc479757207"/>
      <w:r/>
      <w:bookmarkStart w:id="177" w:name="_Toc513029242"/>
      <w:r/>
      <w:bookmarkStart w:id="178" w:name="_Toc120614221"/>
      <w:r/>
      <w:bookmarkStart w:id="179" w:name="_Toc20823314"/>
      <w:r/>
      <w:bookmarkStart w:id="180" w:name="_Toc16938558"/>
      <w:r>
        <w:rPr>
          <w:rFonts w:hint="eastAsia" w:ascii="宋体" w:hAnsi="宋体"/>
          <w:b/>
          <w:color w:val="000000" w:themeColor="text1"/>
          <w:sz w:val="28"/>
          <w:szCs w:val="28"/>
          <w:highlight w:val="none"/>
          <w14:textFill>
            <w14:solidFill>
              <w14:schemeClr w14:val="tx1"/>
            </w14:solidFill>
          </w14:textFill>
        </w:rPr>
        <w:t xml:space="preserve"> 货物（包含与货物相关的服务）的追加</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32"/>
        <w:ind w:firstLine="422"/>
        <w:jc w:val="center"/>
        <w:keepLines w:val="0"/>
        <w:keepNext w:val="0"/>
        <w:spacing w:before="0" w:after="0" w:line="500" w:lineRule="exact"/>
        <w:rPr>
          <w:rFonts w:ascii="黑体"/>
          <w:bCs w:val="0"/>
          <w:color w:val="000000" w:themeColor="text1"/>
          <w:sz w:val="36"/>
          <w:szCs w:val="36"/>
          <w:highlight w:val="none"/>
          <w14:textFill>
            <w14:solidFill>
              <w14:schemeClr w14:val="tx1"/>
            </w14:solidFill>
          </w14:textFill>
        </w:rPr>
      </w:pPr>
      <w:r>
        <w:rPr>
          <w:rFonts w:ascii="宋体" w:hAnsi="宋体"/>
          <w:color w:val="000000" w:themeColor="text1"/>
          <w:sz w:val="24"/>
          <w:highlight w:val="none"/>
          <w:shd w:val="clear" w:color="ffffff" w:fill="d9d9d9"/>
          <w14:textFill>
            <w14:solidFill>
              <w14:schemeClr w14:val="tx1"/>
            </w14:solidFill>
          </w14:textFill>
        </w:rPr>
        <w:br w:type="page" w:clear="all"/>
      </w:r>
      <w:r>
        <w:rPr>
          <w:rFonts w:hint="eastAsia" w:ascii="黑体"/>
          <w:color w:val="000000" w:themeColor="text1"/>
          <w:sz w:val="36"/>
          <w:szCs w:val="36"/>
          <w:highlight w:val="none"/>
          <w14:textFill>
            <w14:solidFill>
              <w14:schemeClr w14:val="tx1"/>
            </w14:solidFill>
          </w14:textFill>
        </w:rPr>
        <w:t xml:space="preserve">第三章  合同</w:t>
      </w:r>
      <w:bookmarkEnd w:id="176"/>
      <w:r/>
      <w:bookmarkEnd w:id="177"/>
      <w:r/>
      <w:bookmarkEnd w:id="178"/>
      <w:r/>
      <w:bookmarkEnd w:id="179"/>
      <w:r/>
      <w:bookmarkEnd w:id="180"/>
      <w:r>
        <w:rPr>
          <w:rFonts w:hint="eastAsia" w:ascii="黑体"/>
          <w:color w:val="000000" w:themeColor="text1"/>
          <w:sz w:val="36"/>
          <w:szCs w:val="36"/>
          <w:highlight w:val="none"/>
          <w14:textFill>
            <w14:solidFill>
              <w14:schemeClr w14:val="tx1"/>
            </w14:solidFill>
          </w14:textFill>
        </w:rPr>
        <w:t xml:space="preserve">文本</w:t>
      </w:r>
      <w:r/>
    </w:p>
    <w:p>
      <w:pPr>
        <w:keepLines w:val="0"/>
        <w:keepNext w:val="0"/>
        <w:pageBreakBefore w:val="0"/>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bookmarkStart w:id="181" w:name="_Hlt16619369"/>
      <w:r/>
      <w:bookmarkEnd w:id="181"/>
      <w:r/>
      <w:bookmarkStart w:id="182" w:name="_Hlt16619350"/>
      <w:r/>
      <w:bookmarkStart w:id="183" w:name="_Toc20823346"/>
      <w:r/>
      <w:bookmarkStart w:id="184" w:name="_Toc16938590"/>
      <w:r/>
      <w:bookmarkStart w:id="185" w:name="_Toc120614244"/>
      <w:r/>
      <w:bookmarkStart w:id="186" w:name="_Toc462564139"/>
      <w:r/>
      <w:bookmarkStart w:id="187" w:name="_Toc479757211"/>
      <w:r>
        <w:rPr>
          <w:rFonts w:hint="eastAsia" w:ascii="宋体" w:hAnsi="宋体" w:eastAsia="宋体" w:cs="宋体"/>
          <w:bCs/>
          <w:color w:val="000000" w:themeColor="text1"/>
          <w:sz w:val="21"/>
          <w:szCs w:val="21"/>
          <w:highlight w:val="none"/>
          <w14:textFill>
            <w14:solidFill>
              <w14:schemeClr w14:val="tx1"/>
            </w14:solidFill>
          </w14:textFill>
        </w:rPr>
        <w:t xml:space="preserve">项目名称：</w:t>
      </w:r>
      <w:r/>
    </w:p>
    <w:p>
      <w:pPr>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甲方：（采购人）_________</w:t>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乙方：（成交方）_________</w:t>
      </w:r>
      <w:r/>
    </w:p>
    <w:p>
      <w:pPr>
        <w:ind w:firstLine="480"/>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甲、乙双方根据无锡市卫生健康综合服务中心</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项目招标的结果，签署本合同。</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一、合同内容</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 采购内容：货物名称、规格型号、数量、单价、成交总价</w:t>
      </w:r>
      <w:r/>
    </w:p>
    <w:tbl>
      <w:tblPr>
        <w:tblStyle w:val="778"/>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1372"/>
        <w:gridCol w:w="1509"/>
        <w:gridCol w:w="1381"/>
        <w:gridCol w:w="1165"/>
        <w:gridCol w:w="1394"/>
      </w:tblGrid>
      <w:tr>
        <w:trPr/>
        <w:tc>
          <w:tcPr>
            <w:tcW w:w="14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设备名称</w:t>
            </w:r>
            <w:r/>
          </w:p>
        </w:tc>
        <w:tc>
          <w:tcPr>
            <w:tcW w:w="137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生产厂家</w:t>
            </w:r>
            <w:r/>
          </w:p>
        </w:tc>
        <w:tc>
          <w:tcPr>
            <w:tcW w:w="150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规格型号</w:t>
            </w:r>
            <w:r/>
          </w:p>
        </w:tc>
        <w:tc>
          <w:tcPr>
            <w:tcW w:w="138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数量</w:t>
            </w:r>
            <w:r/>
          </w:p>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（台/套）</w:t>
            </w:r>
            <w:r/>
          </w:p>
        </w:tc>
        <w:tc>
          <w:tcPr>
            <w:tcW w:w="116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单价</w:t>
            </w:r>
            <w:r/>
          </w:p>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（元）</w:t>
            </w:r>
            <w:r/>
          </w:p>
        </w:tc>
        <w:tc>
          <w:tcPr>
            <w:tcW w:w="139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成交总价</w:t>
            </w:r>
            <w:r/>
          </w:p>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（元）</w:t>
            </w:r>
            <w:r/>
          </w:p>
        </w:tc>
      </w:tr>
      <w:tr>
        <w:trPr/>
        <w:tc>
          <w:tcPr>
            <w:tcW w:w="1475" w:type="dxa"/>
            <w:textDirection w:val="lrTb"/>
            <w:noWrap w:val="false"/>
          </w:tcPr>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72" w:type="dxa"/>
            <w:textDirection w:val="lrTb"/>
            <w:noWrap w:val="false"/>
          </w:tcPr>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509" w:type="dxa"/>
            <w:textDirection w:val="lrTb"/>
            <w:noWrap w:val="false"/>
          </w:tcPr>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81" w:type="dxa"/>
            <w:textDirection w:val="lrTb"/>
            <w:noWrap w:val="false"/>
          </w:tcPr>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65" w:type="dxa"/>
            <w:textDirection w:val="lrTb"/>
            <w:noWrap w:val="false"/>
          </w:tcPr>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94" w:type="dxa"/>
            <w:textDirection w:val="lrTb"/>
            <w:noWrap w:val="false"/>
          </w:tcPr>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gridSpan w:val="4"/>
            <w:tcW w:w="5737" w:type="dxa"/>
            <w:textDirection w:val="lrTb"/>
            <w:noWrap w:val="false"/>
          </w:tcPr>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总计（大写）：</w:t>
            </w:r>
            <w:r/>
          </w:p>
        </w:tc>
        <w:tc>
          <w:tcPr>
            <w:gridSpan w:val="2"/>
            <w:tcW w:w="2559" w:type="dxa"/>
            <w:textDirection w:val="lrTb"/>
            <w:noWrap w:val="false"/>
          </w:tcPr>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（小写）：</w:t>
            </w:r>
            <w:r/>
          </w:p>
        </w:tc>
      </w:tr>
    </w:tbl>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以上价格均为含税价格。</w:t>
      </w:r>
      <w:r/>
    </w:p>
    <w:p>
      <w:pPr>
        <w:ind w:firstLine="480"/>
        <w:keepLines w:val="0"/>
        <w:keepNext w:val="0"/>
        <w:pageBreakBefore w:val="0"/>
        <w:spacing w:line="360" w:lineRule="auto"/>
        <w:widowControl w:val="off"/>
        <w:rPr>
          <w:rFonts w:hint="eastAsia" w:ascii="宋体" w:hAnsi="宋体" w:eastAsia="宋体" w:cs="宋体"/>
          <w:i/>
          <w:i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 标的质量与检验：</w:t>
      </w:r>
      <w:r>
        <w:rPr>
          <w:rFonts w:hint="eastAsia" w:ascii="宋体" w:hAnsi="宋体" w:eastAsia="宋体" w:cs="宋体"/>
          <w:i/>
          <w:iCs/>
          <w:color w:val="000000" w:themeColor="text1"/>
          <w:sz w:val="21"/>
          <w:szCs w:val="21"/>
          <w:highlight w:val="none"/>
          <w14:textFill>
            <w14:solidFill>
              <w14:schemeClr w14:val="tx1"/>
            </w14:solidFill>
          </w14:textFill>
        </w:rPr>
        <w:t xml:space="preserve"> </w:t>
      </w:r>
      <w:r/>
    </w:p>
    <w:p>
      <w:pPr>
        <w:ind w:firstLine="480"/>
        <w:keepLines w:val="0"/>
        <w:keepNext w:val="0"/>
        <w:pageBreakBefore w:val="0"/>
        <w:spacing w:line="360" w:lineRule="auto"/>
        <w:widowControl w:val="off"/>
        <w:tabs>
          <w:tab w:val="left" w:pos="525" w:leader="none"/>
          <w:tab w:val="left" w:pos="1050" w:leader="none"/>
          <w:tab w:val="left" w:pos="115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1.2.1乙方应严格按照招标文件的有关规定和乙方投标文件提供合格的货物及服务。</w:t>
      </w:r>
      <w:r/>
    </w:p>
    <w:p>
      <w:pPr>
        <w:ind w:firstLine="480"/>
        <w:keepLines w:val="0"/>
        <w:keepNext w:val="0"/>
        <w:pageBreakBefore w:val="0"/>
        <w:spacing w:line="360" w:lineRule="auto"/>
        <w:widowControl w:val="off"/>
        <w:tabs>
          <w:tab w:val="left" w:pos="1050" w:leader="none"/>
          <w:tab w:val="left" w:pos="115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keepLines w:val="0"/>
        <w:keepNext w:val="0"/>
        <w:pageBreakBefore w:val="0"/>
        <w:spacing w:line="360" w:lineRule="auto"/>
        <w:widowControl w:val="off"/>
        <w:tabs>
          <w:tab w:val="left" w:pos="420" w:leader="none"/>
          <w:tab w:val="left" w:pos="1050" w:leader="none"/>
          <w:tab w:val="left" w:pos="115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1.2.3货物的到货验收包括：数量、外观、质量、性能、随机备件、装箱单、质量证书等随机资料及包装完整无破损。</w:t>
      </w:r>
      <w:r/>
    </w:p>
    <w:p>
      <w:pPr>
        <w:ind w:firstLine="480"/>
        <w:keepLines w:val="0"/>
        <w:keepNext w:val="0"/>
        <w:pageBreakBefore w:val="0"/>
        <w:spacing w:line="360" w:lineRule="auto"/>
        <w:widowControl w:val="off"/>
        <w:tabs>
          <w:tab w:val="left" w:pos="1050" w:leader="none"/>
          <w:tab w:val="left" w:pos="115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1.2.4货物和系统调试验收标准：按行业通行标准、厂方出厂标准、招标文件要求和乙方投标文件的承诺，并不低于国家相关标准。</w:t>
      </w:r>
      <w:r/>
    </w:p>
    <w:p>
      <w:pPr>
        <w:ind w:firstLine="480"/>
        <w:keepLines w:val="0"/>
        <w:keepNext w:val="0"/>
        <w:pageBreakBefore w:val="0"/>
        <w:spacing w:line="360" w:lineRule="auto"/>
        <w:widowControl w:val="off"/>
        <w:tabs>
          <w:tab w:val="left" w:pos="1050" w:leader="none"/>
          <w:tab w:val="left" w:pos="115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1.2.5货物运到甲方指定地点并经甲方验证签收后，由于甲方保管不善造成的质量问题，乙方应负责修理，但有关费用由甲方承担。</w:t>
      </w:r>
      <w:r/>
    </w:p>
    <w:p>
      <w:pPr>
        <w:ind w:firstLine="480"/>
        <w:keepLines w:val="0"/>
        <w:keepNext w:val="0"/>
        <w:pageBreakBefore w:val="0"/>
        <w:spacing w:line="360" w:lineRule="auto"/>
        <w:widowControl w:val="off"/>
        <w:tabs>
          <w:tab w:val="left" w:pos="1050" w:leader="none"/>
          <w:tab w:val="left" w:pos="115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keepLines w:val="0"/>
        <w:keepNext w:val="0"/>
        <w:pageBreakBefore w:val="0"/>
        <w:spacing w:line="360" w:lineRule="auto"/>
        <w:widowControl w:val="off"/>
        <w:tabs>
          <w:tab w:val="left" w:pos="1050" w:leader="none"/>
          <w:tab w:val="left" w:pos="115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1.2.7甲方不得擅自变更招投标文件约定的性能、指标等相关内容，如有变更应按《中华人民共和国政府采购法》、财政部《政府采购货物和服务招标投标管理办法》的相关程序执行。</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1.3履行时间（交货或完工期限）：合同生效之日起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天内，交货并完成安装调试。</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1.4履行地点： 甲方所在地指定地点。</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1.5履行方式：由乙方负责办理运输及装卸，直接送至甲方指定地点，并负责安装、调试、使用维护培训、售后服务等，所有费用由乙方承担。</w:t>
      </w:r>
      <w:r/>
    </w:p>
    <w:p>
      <w:pPr>
        <w:ind w:firstLine="480"/>
        <w:keepLines w:val="0"/>
        <w:keepNext w:val="0"/>
        <w:pageBreakBefore w:val="0"/>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1.5.1交货条件：</w:t>
      </w:r>
      <w:r/>
    </w:p>
    <w:p>
      <w:pPr>
        <w:ind w:firstLine="480"/>
        <w:keepLines w:val="0"/>
        <w:keepNext w:val="0"/>
        <w:pageBreakBefore w:val="0"/>
        <w:spacing w:line="360" w:lineRule="auto"/>
        <w:widowControl w:val="off"/>
        <w:tabs>
          <w:tab w:val="left" w:pos="420" w:leader="none"/>
          <w:tab w:val="left" w:pos="115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1.5.1.1乙方在验收时应先用信函、传真、电子邮件等书面方式通知甲方。</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1.5.1.2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1.5.1.3货物交货时，所有货物必须带有装箱单、</w:t>
      </w:r>
      <w:r>
        <w:rPr>
          <w:rFonts w:hint="eastAsia" w:ascii="宋体" w:hAnsi="宋体" w:eastAsia="宋体" w:cs="宋体"/>
          <w:color w:val="000000" w:themeColor="text1"/>
          <w:sz w:val="21"/>
          <w:szCs w:val="21"/>
          <w:highlight w:val="none"/>
          <w14:textFill>
            <w14:solidFill>
              <w14:schemeClr w14:val="tx1"/>
            </w14:solidFill>
          </w14:textFill>
        </w:rPr>
        <w:t xml:space="preserve">产品质检合格证明、使用说明书及操作手册（电子版、纸质版同时提供），单价10万元以上的设备需提供设备操作、保养的视频资料，若为进口产品，需提供进口商品检验检疫证明和报关单</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其他</w:t>
      </w:r>
      <w:r>
        <w:rPr>
          <w:rFonts w:hint="eastAsia" w:ascii="宋体" w:hAnsi="宋体" w:eastAsia="宋体" w:cs="宋体"/>
          <w:bCs/>
          <w:color w:val="000000" w:themeColor="text1"/>
          <w:sz w:val="21"/>
          <w:szCs w:val="21"/>
          <w:highlight w:val="none"/>
          <w14:textFill>
            <w14:solidFill>
              <w14:schemeClr w14:val="tx1"/>
            </w14:solidFill>
          </w14:textFill>
        </w:rPr>
        <w:t xml:space="preserve">附件所有部件必须原包装。</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1.5.1.4运输及到货地点：由乙方负责办理运输并承担所有费用，直接送到甲方指定地点，即：以合同书上的地点为准。</w:t>
      </w:r>
      <w:r/>
    </w:p>
    <w:p>
      <w:pPr>
        <w:ind w:firstLine="480"/>
        <w:keepLines w:val="0"/>
        <w:keepNext w:val="0"/>
        <w:pageBreakBefore w:val="0"/>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1.5.2 安装调试及售后服务：</w:t>
      </w:r>
      <w:r/>
    </w:p>
    <w:p>
      <w:pPr>
        <w:ind w:firstLine="480"/>
        <w:keepLines w:val="0"/>
        <w:keepNext w:val="0"/>
        <w:pageBreakBefore w:val="0"/>
        <w:spacing w:line="360" w:lineRule="auto"/>
        <w:widowControl w:val="off"/>
        <w:tabs>
          <w:tab w:val="left" w:pos="525" w:leader="none"/>
          <w:tab w:val="left" w:pos="840" w:leader="none"/>
          <w:tab w:val="left" w:pos="945" w:leader="none"/>
          <w:tab w:val="left" w:pos="196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1.5.2.1乙方负责本项目的安装和调试，并保证其提供的货物符合国家、行业、地方、招投标文件及合同规定的质量、性能和标准，并正确且安全地安装。</w:t>
      </w:r>
      <w:r/>
    </w:p>
    <w:p>
      <w:pPr>
        <w:ind w:firstLine="480"/>
        <w:keepLines w:val="0"/>
        <w:keepNext w:val="0"/>
        <w:pageBreakBefore w:val="0"/>
        <w:spacing w:line="360" w:lineRule="auto"/>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1.5.2.2乙方提供的服务全部按照国家有关法律法规规章和“三包”规定以及</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按照</w:t>
      </w:r>
      <w:r>
        <w:rPr>
          <w:rFonts w:hint="eastAsia" w:ascii="宋体" w:hAnsi="宋体" w:eastAsia="宋体" w:cs="宋体"/>
          <w:bCs/>
          <w:color w:val="000000" w:themeColor="text1"/>
          <w:sz w:val="21"/>
          <w:szCs w:val="21"/>
          <w:highlight w:val="none"/>
          <w14:textFill>
            <w14:solidFill>
              <w14:schemeClr w14:val="tx1"/>
            </w14:solidFill>
          </w14:textFill>
        </w:rPr>
        <w:t xml:space="preserve">招标文件要求和乙方投标文件中的承诺执行。</w:t>
      </w:r>
      <w:r/>
    </w:p>
    <w:p>
      <w:pPr>
        <w:ind w:firstLine="480"/>
        <w:keepLines w:val="0"/>
        <w:keepNext w:val="0"/>
        <w:pageBreakBefore w:val="0"/>
        <w:spacing w:line="360" w:lineRule="auto"/>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1.5.2.3超过</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质保</w:t>
      </w:r>
      <w:r>
        <w:rPr>
          <w:rFonts w:hint="eastAsia" w:ascii="宋体" w:hAnsi="宋体" w:eastAsia="宋体" w:cs="宋体"/>
          <w:bCs/>
          <w:color w:val="000000" w:themeColor="text1"/>
          <w:sz w:val="21"/>
          <w:szCs w:val="21"/>
          <w:highlight w:val="none"/>
          <w14:textFill>
            <w14:solidFill>
              <w14:schemeClr w14:val="tx1"/>
            </w14:solidFill>
          </w14:textFill>
        </w:rPr>
        <w:t xml:space="preserve">期的机器设备，终身维修，维修只收配件费，供方必须以低于市场价的80％优惠提供，具体由双方协商再定。</w:t>
      </w:r>
      <w:r/>
    </w:p>
    <w:p>
      <w:pPr>
        <w:ind w:firstLine="480"/>
        <w:keepLines w:val="0"/>
        <w:keepNext w:val="0"/>
        <w:pageBreakBefore w:val="0"/>
        <w:spacing w:line="360" w:lineRule="auto"/>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1.5.2.4甲方应向乙方现场调试的技术人员及维修人员提供方便条件，有关费用由乙方负责。</w:t>
      </w:r>
      <w:r/>
    </w:p>
    <w:p>
      <w:pPr>
        <w:ind w:firstLine="480"/>
        <w:keepLines w:val="0"/>
        <w:keepNext w:val="0"/>
        <w:pageBreakBefore w:val="0"/>
        <w:spacing w:line="360" w:lineRule="auto"/>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1.5.2.5甲方如要求乙方提供招标文件及乙方投标文件以外的</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其他</w:t>
      </w:r>
      <w:r>
        <w:rPr>
          <w:rFonts w:hint="eastAsia" w:ascii="宋体" w:hAnsi="宋体" w:eastAsia="宋体" w:cs="宋体"/>
          <w:bCs/>
          <w:color w:val="000000" w:themeColor="text1"/>
          <w:sz w:val="21"/>
          <w:szCs w:val="21"/>
          <w:highlight w:val="none"/>
          <w14:textFill>
            <w14:solidFill>
              <w14:schemeClr w14:val="tx1"/>
            </w14:solidFill>
          </w14:textFill>
        </w:rPr>
        <w:t xml:space="preserve">服务，其费用另定。</w:t>
      </w:r>
      <w:r/>
    </w:p>
    <w:p>
      <w:pPr>
        <w:ind w:firstLine="480"/>
        <w:keepLines w:val="0"/>
        <w:keepNext w:val="0"/>
        <w:pageBreakBefore w:val="0"/>
        <w:spacing w:line="360" w:lineRule="auto"/>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1.5.2.</w:t>
      </w: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6乙方承诺免费开放该设备的所有数字化接口，并由乙方配合与医院信息系统相连接。乙方承诺该设备软件终身免费升级。</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 包装方式：</w:t>
      </w:r>
      <w:r>
        <w:rPr>
          <w:rFonts w:hint="eastAsia" w:ascii="宋体" w:hAnsi="宋体" w:eastAsia="宋体" w:cs="宋体"/>
          <w:iCs/>
          <w:color w:val="000000" w:themeColor="text1"/>
          <w:sz w:val="21"/>
          <w:szCs w:val="21"/>
          <w:highlight w:val="none"/>
          <w:u w:val="single"/>
          <w14:textFill>
            <w14:solidFill>
              <w14:schemeClr w14:val="tx1"/>
            </w14:solidFill>
          </w14:textFill>
        </w:rPr>
        <w:t xml:space="preserve">箱板包装。</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二、合同金额</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2.1本合同含税金额为（大写）： _____________圆（______元）人民币。</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三、技术资料</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3.1乙方应按招标文件规定的时间向甲方提供使用货物</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包含与货物相关的服务</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的有关技术资料。</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四、知识产权</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keepLines w:val="0"/>
        <w:keepNext w:val="0"/>
        <w:pageBreakBefore w:val="0"/>
        <w:spacing w:line="360" w:lineRule="auto"/>
        <w:widowControl w:val="off"/>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五、产权担保</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5.1 乙方保证所交付的货物（包含与货物相关的服务）的所有权完全属于乙方且无任何抵押、查封等产权瑕疵。</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六、履约保证金</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6.1履约保证金缴纳金额：中标金额的10%。</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6.1.1履约保证金的缴纳时间：供方在合同生效后进行缴纳。</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6.1.2缴纳形式：银行保函等非现金形式缴纳。</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6.2履约保证金的退付时间：本项目验收合格后。</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6.2.1退付办法：原路退还，或履约保函到期自动失效。</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6.2.2履约保证金不予退还的情形：</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①由于供方的原因不能履约的。</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②在履行合同期间发生重大安全事故，给需方造成不良影响和严重经济损失的。</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6.2.3逾期退还履约保证金的违约责任：承担履约保证金金额千分之二/天的违约金。</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6.2.4乙方向甲方支付赔偿金或违约金的，甲方有权在应付款或履约保证金中直接扣除。</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七、合同转包或分包</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7.1乙方不得将合同标的转包给他人履行。</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7.3乙方如有转包或未经甲方同意的分包行为，甲方有权给予终止合同。</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八、合同款项支付</w:t>
      </w:r>
      <w:r/>
    </w:p>
    <w:p>
      <w:pPr>
        <w:ind w:firstLine="480"/>
        <w:keepLines w:val="0"/>
        <w:keepNext w:val="0"/>
        <w:pageBreakBefore w:val="0"/>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8.1合同款项的支付方式及进度安排</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合同签订生效后预支付合同总金额的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  30  </w:t>
      </w:r>
      <w:r>
        <w:rPr>
          <w:rFonts w:hint="eastAsia" w:ascii="宋体" w:hAnsi="宋体" w:eastAsia="宋体" w:cs="宋体"/>
          <w:color w:val="000000" w:themeColor="text1"/>
          <w:sz w:val="21"/>
          <w:szCs w:val="21"/>
          <w:highlight w:val="none"/>
          <w14:textFill>
            <w14:solidFill>
              <w14:schemeClr w14:val="tx1"/>
            </w14:solidFill>
          </w14:textFill>
        </w:rPr>
        <w:t xml:space="preserve">%，货到现场安装、调试、培训、验收合格后支付合同总金额的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  60 </w:t>
      </w:r>
      <w:r>
        <w:rPr>
          <w:rFonts w:hint="eastAsia" w:ascii="宋体" w:hAnsi="宋体" w:eastAsia="宋体" w:cs="宋体"/>
          <w:color w:val="000000" w:themeColor="text1"/>
          <w:sz w:val="21"/>
          <w:szCs w:val="21"/>
          <w:highlight w:val="none"/>
          <w14:textFill>
            <w14:solidFill>
              <w14:schemeClr w14:val="tx1"/>
            </w14:solidFill>
          </w14:textFill>
        </w:rPr>
        <w:t xml:space="preserve">%，验收合格</w:t>
      </w:r>
      <w:r>
        <w:rPr>
          <w:rFonts w:hint="eastAsia" w:ascii="宋体" w:hAnsi="宋体" w:eastAsia="宋体" w:cs="宋体"/>
          <w:color w:val="000000" w:themeColor="text1"/>
          <w:sz w:val="21"/>
          <w:szCs w:val="21"/>
          <w:highlight w:val="none"/>
          <w:u w:val="single"/>
          <w14:textFill>
            <w14:solidFill>
              <w14:schemeClr w14:val="tx1"/>
            </w14:solidFill>
          </w14:textFill>
        </w:rPr>
        <w:t xml:space="preserve"> 1 </w:t>
      </w:r>
      <w:r>
        <w:rPr>
          <w:rFonts w:hint="eastAsia" w:ascii="宋体" w:hAnsi="宋体" w:eastAsia="宋体" w:cs="宋体"/>
          <w:color w:val="000000" w:themeColor="text1"/>
          <w:sz w:val="21"/>
          <w:szCs w:val="21"/>
          <w:highlight w:val="none"/>
          <w14:textFill>
            <w14:solidFill>
              <w14:schemeClr w14:val="tx1"/>
            </w14:solidFill>
          </w14:textFill>
        </w:rPr>
        <w:t xml:space="preserve">年后支付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10  </w:t>
      </w:r>
      <w:r>
        <w:rPr>
          <w:rFonts w:hint="eastAsia" w:ascii="宋体" w:hAnsi="宋体" w:eastAsia="宋体" w:cs="宋体"/>
          <w:color w:val="000000" w:themeColor="text1"/>
          <w:sz w:val="21"/>
          <w:szCs w:val="21"/>
          <w:highlight w:val="none"/>
          <w14:textFill>
            <w14:solidFill>
              <w14:schemeClr w14:val="tx1"/>
            </w14:solidFill>
          </w14:textFill>
        </w:rPr>
        <w:t xml:space="preserve">%余款。（如果制造商为中小企业，按《保障中小企业款项支付条例》(国令第 802号)相关要求执行。）</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8.2</w:t>
      </w:r>
      <w:r>
        <w:rPr>
          <w:rFonts w:hint="eastAsia" w:ascii="宋体" w:hAnsi="宋体" w:eastAsia="宋体" w:cs="宋体"/>
          <w:color w:val="000000" w:themeColor="text1"/>
          <w:sz w:val="21"/>
          <w:szCs w:val="21"/>
          <w:highlight w:val="none"/>
          <w14:textFill>
            <w14:solidFill>
              <w14:schemeClr w14:val="tx1"/>
            </w14:solidFill>
          </w14:textFill>
        </w:rPr>
        <w:t xml:space="preserve">当采购数量与实际使用数量不一致时，乙方应根据实际使用量供货，合同的最终结算金额按实际使用量乘以成交单价进行计算。</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8.3乙方应在甲方付款前向甲方交付符合要求的发票，乙方逾期交付发票的，甲方有权延迟付款。</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九、税费</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9.1本合同执行中相关的一切税费均由乙方负担。</w:t>
      </w:r>
      <w:r/>
    </w:p>
    <w:p>
      <w:pPr>
        <w:ind w:firstLine="482"/>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十、质量保修范围和</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质保</w:t>
      </w:r>
      <w:r>
        <w:rPr>
          <w:rFonts w:hint="eastAsia" w:ascii="宋体" w:hAnsi="宋体" w:eastAsia="宋体" w:cs="宋体"/>
          <w:b/>
          <w:color w:val="000000" w:themeColor="text1"/>
          <w:sz w:val="21"/>
          <w:szCs w:val="21"/>
          <w:highlight w:val="none"/>
          <w14:textFill>
            <w14:solidFill>
              <w14:schemeClr w14:val="tx1"/>
            </w14:solidFill>
          </w14:textFill>
        </w:rPr>
        <w:t xml:space="preserve">期及售后服务</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10.1乙方应按招标文件规定的货物性能、技术要求、质量标准向甲方提供未经使用的全新产品。</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10.2乙方提供的货物在质量期内因货物本身的质量问题发生故障，乙方应负责免费更换。对达不到技术要求者，根据实际情况，经双方协商，可按以下办法处理：</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⑴更换：由乙方承担所发生的全部费用。</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⑵贬值处理：由甲乙双方合议定价。</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⑶退货处理：乙方应退还甲方支付的合同款，同时应承担该货物的直接费用（运输、保险、检验、货款利息及银行手续费等）。</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10.3如在使用过程中发生质量问题</w:t>
      </w:r>
      <w:r>
        <w:rPr>
          <w:rFonts w:hint="eastAsia" w:ascii="宋体" w:hAnsi="宋体" w:cs="宋体"/>
          <w:color w:val="000000" w:themeColor="text1"/>
          <w:sz w:val="21"/>
          <w:szCs w:val="21"/>
          <w:highlight w:val="none"/>
          <w:lang w:val="en-US" w:eastAsia="zh-CN"/>
          <w14:textFill>
            <w14:solidFill>
              <w14:schemeClr w14:val="tx1"/>
            </w14:solidFill>
          </w14:textFill>
        </w:rPr>
        <w:t xml:space="preserve">或故障</w:t>
      </w:r>
      <w:r>
        <w:rPr>
          <w:rFonts w:hint="eastAsia" w:ascii="宋体" w:hAnsi="宋体" w:eastAsia="宋体" w:cs="宋体"/>
          <w:color w:val="000000" w:themeColor="text1"/>
          <w:sz w:val="21"/>
          <w:szCs w:val="21"/>
          <w:highlight w:val="none"/>
          <w14:textFill>
            <w14:solidFill>
              <w14:schemeClr w14:val="tx1"/>
            </w14:solidFill>
          </w14:textFill>
        </w:rPr>
        <w:t xml:space="preserve">，乙方在接到甲方通知后在_________小时内到达甲方现场。</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10.4在质保期内，乙方应对货物出现的质量及安全问题负责处理解决并承担一切费用。</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10.5上述的货物免费</w:t>
      </w:r>
      <w:r>
        <w:rPr>
          <w:rFonts w:hint="eastAsia" w:ascii="宋体" w:hAnsi="宋体" w:cs="宋体"/>
          <w:color w:val="000000" w:themeColor="text1"/>
          <w:sz w:val="21"/>
          <w:szCs w:val="21"/>
          <w:highlight w:val="none"/>
          <w:lang w:val="en-US" w:eastAsia="zh-CN"/>
          <w14:textFill>
            <w14:solidFill>
              <w14:schemeClr w14:val="tx1"/>
            </w14:solidFill>
          </w14:textFill>
        </w:rPr>
        <w:t xml:space="preserve">质保</w:t>
      </w:r>
      <w:r>
        <w:rPr>
          <w:rFonts w:hint="eastAsia" w:ascii="宋体" w:hAnsi="宋体" w:eastAsia="宋体" w:cs="宋体"/>
          <w:color w:val="000000" w:themeColor="text1"/>
          <w:sz w:val="21"/>
          <w:szCs w:val="21"/>
          <w:highlight w:val="none"/>
          <w14:textFill>
            <w14:solidFill>
              <w14:schemeClr w14:val="tx1"/>
            </w14:solidFill>
          </w14:textFill>
        </w:rPr>
        <w:t xml:space="preserve">期为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年（自交货验收合格之日起计），因人为因素出现的故障不在免费保修范围内。超过</w:t>
      </w:r>
      <w:r>
        <w:rPr>
          <w:rFonts w:hint="eastAsia" w:ascii="宋体" w:hAnsi="宋体" w:cs="宋体"/>
          <w:color w:val="000000" w:themeColor="text1"/>
          <w:sz w:val="21"/>
          <w:szCs w:val="21"/>
          <w:highlight w:val="none"/>
          <w:lang w:val="en-US" w:eastAsia="zh-CN"/>
          <w14:textFill>
            <w14:solidFill>
              <w14:schemeClr w14:val="tx1"/>
            </w14:solidFill>
          </w14:textFill>
        </w:rPr>
        <w:t xml:space="preserve">质保</w:t>
      </w:r>
      <w:r>
        <w:rPr>
          <w:rFonts w:hint="eastAsia" w:ascii="宋体" w:hAnsi="宋体" w:eastAsia="宋体" w:cs="宋体"/>
          <w:color w:val="000000" w:themeColor="text1"/>
          <w:sz w:val="21"/>
          <w:szCs w:val="21"/>
          <w:highlight w:val="none"/>
          <w14:textFill>
            <w14:solidFill>
              <w14:schemeClr w14:val="tx1"/>
            </w14:solidFill>
          </w14:textFill>
        </w:rPr>
        <w:t xml:space="preserve">期的机器设备，终身维修，维修只收配件费，供方必须以低于市场价的80％优惠提供，具体</w:t>
      </w:r>
      <w:r>
        <w:rPr>
          <w:rFonts w:hint="eastAsia" w:ascii="宋体" w:hAnsi="宋体" w:eastAsia="宋体" w:cs="宋体"/>
          <w:bCs/>
          <w:color w:val="000000" w:themeColor="text1"/>
          <w:sz w:val="21"/>
          <w:szCs w:val="21"/>
          <w:highlight w:val="none"/>
          <w14:textFill>
            <w14:solidFill>
              <w14:schemeClr w14:val="tx1"/>
            </w14:solidFill>
          </w14:textFill>
        </w:rPr>
        <w:t xml:space="preserve">由双方协商再定。</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十一、项目验收</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11.1甲方依法组织履约验收工作。</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11.3对于实际使用人和甲方分离的项目，甲方邀请实际使用人参与验收。</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11.4如有必要，甲方邀请参加本项目的其他供应商或第三方专业机构及专家参与验收，相关意见将作为验收书的参考资料。</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11.5甲方成立验收小组，按照采购合同的约定对乙方的履约情况进行验收。验收时间、验收标准见招标文件验收内容，要求进口产品到货日期距仪器生产日期不超过一年，国产产品不超过半年（以铭牌或说明书确认）。验收时</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甲方按照采购合同的约定对每一项技术、商务要求的履约情况进行确认。验收结束后</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验收小组出具验收书</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列明各项标准的验收情况及项目总体评价</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由验收双方共同签署。验收结果与采购合同约定的资金支付及履约保证金返还条件挂钩。履约验收的各项资料存档备查。</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11.6 验收合格的项目</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中华人民共和国民法典</w:t>
      </w:r>
      <w:r>
        <w:rPr>
          <w:rFonts w:hint="eastAsia" w:ascii="宋体" w:hAnsi="宋体" w:eastAsia="宋体" w:cs="宋体"/>
          <w:color w:val="000000" w:themeColor="text1"/>
          <w:sz w:val="21"/>
          <w:szCs w:val="21"/>
          <w:highlight w:val="none"/>
          <w14:textFill>
            <w14:solidFill>
              <w14:schemeClr w14:val="tx1"/>
            </w14:solidFill>
          </w14:textFill>
        </w:rPr>
        <w:t xml:space="preserve">》。乙方在履约过程中有政府采购法律法规规定的违法违规情形的</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甲方将及时报告本级财政部门。</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十二、货物的包装、发运及运输</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12.1乙方应在货物发运前对其进行满足运输距离、防潮、防震、防锈和防破损装卸等要求包装，以保证货物安全运达甲方指定地点。乙方对货物的包装应符合《商品包装政府采购需求标准（试行）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快递包装政府采购需求标准（试行）》的规定。</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12.2使用说明书、质量检验证明书、随配附件和工具以及清单一并附于货物内。</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12.3乙方在货物发运手续办理完毕后24小时内或货到甲方48小时前通知甲方，以准备接货。</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12.4货物在</w:t>
      </w:r>
      <w:r>
        <w:rPr>
          <w:rFonts w:hint="eastAsia" w:ascii="宋体" w:hAnsi="宋体" w:cs="宋体"/>
          <w:color w:val="000000" w:themeColor="text1"/>
          <w:sz w:val="21"/>
          <w:szCs w:val="21"/>
          <w:highlight w:val="none"/>
          <w:lang w:val="en-US" w:eastAsia="zh-CN"/>
          <w14:textFill>
            <w14:solidFill>
              <w14:schemeClr w14:val="tx1"/>
            </w14:solidFill>
          </w14:textFill>
        </w:rPr>
        <w:t xml:space="preserve">验收合格</w:t>
      </w:r>
      <w:r>
        <w:rPr>
          <w:rFonts w:hint="eastAsia" w:ascii="宋体" w:hAnsi="宋体" w:eastAsia="宋体" w:cs="宋体"/>
          <w:color w:val="000000" w:themeColor="text1"/>
          <w:sz w:val="21"/>
          <w:szCs w:val="21"/>
          <w:highlight w:val="none"/>
          <w14:textFill>
            <w14:solidFill>
              <w14:schemeClr w14:val="tx1"/>
            </w14:solidFill>
          </w14:textFill>
        </w:rPr>
        <w:t xml:space="preserve">前发生的风险均由乙方负责。</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12.5货物在规定的交付期限内由乙方送达甲方指定的地点视为交付，乙方同时需通知甲方货物已送达。</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十三、违约责任</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13.1甲方无正当理由拒收货物的，甲方向乙方偿付拒收货款总值</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的违约金。</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13.2甲方无故逾期验收和办理货款支付手续的</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甲方应按逾期付款总额每日</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向乙方支付违约金。</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13.3乙方逾期交付货物</w:t>
      </w:r>
      <w:r>
        <w:rPr>
          <w:rFonts w:hint="eastAsia" w:ascii="宋体" w:hAnsi="宋体" w:cs="宋体"/>
          <w:color w:val="000000" w:themeColor="text1"/>
          <w:sz w:val="21"/>
          <w:szCs w:val="21"/>
          <w:highlight w:val="none"/>
          <w:lang w:val="en-US" w:eastAsia="zh-CN"/>
          <w14:textFill>
            <w14:solidFill>
              <w14:schemeClr w14:val="tx1"/>
            </w14:solidFill>
          </w14:textFill>
        </w:rPr>
        <w:t xml:space="preserve">或逾期完成安装调试</w:t>
      </w:r>
      <w:r>
        <w:rPr>
          <w:rFonts w:hint="eastAsia" w:ascii="宋体" w:hAnsi="宋体" w:eastAsia="宋体" w:cs="宋体"/>
          <w:color w:val="000000" w:themeColor="text1"/>
          <w:sz w:val="21"/>
          <w:szCs w:val="21"/>
          <w:highlight w:val="none"/>
          <w14:textFill>
            <w14:solidFill>
              <w14:schemeClr w14:val="tx1"/>
            </w14:solidFill>
          </w14:textFill>
        </w:rPr>
        <w:t xml:space="preserve">的，乙方应按逾期</w:t>
      </w:r>
      <w:r>
        <w:rPr>
          <w:rFonts w:hint="eastAsia" w:ascii="宋体" w:hAnsi="宋体" w:cs="宋体"/>
          <w:color w:val="000000" w:themeColor="text1"/>
          <w:sz w:val="21"/>
          <w:szCs w:val="21"/>
          <w:highlight w:val="none"/>
          <w:lang w:val="en-US" w:eastAsia="zh-CN"/>
          <w14:textFill>
            <w14:solidFill>
              <w14:schemeClr w14:val="tx1"/>
            </w14:solidFill>
          </w14:textFill>
        </w:rPr>
        <w:t xml:space="preserve">货物</w:t>
      </w:r>
      <w:r>
        <w:rPr>
          <w:rFonts w:hint="eastAsia" w:ascii="宋体" w:hAnsi="宋体" w:eastAsia="宋体" w:cs="宋体"/>
          <w:color w:val="000000" w:themeColor="text1"/>
          <w:sz w:val="21"/>
          <w:szCs w:val="21"/>
          <w:highlight w:val="none"/>
          <w14:textFill>
            <w14:solidFill>
              <w14:schemeClr w14:val="tx1"/>
            </w14:solidFill>
          </w14:textFill>
        </w:rPr>
        <w:t xml:space="preserve">总额每日千分之六向甲方支付违约金，由甲方从待付货款中扣除。逾期超过约定日期10个工作日不能交货</w:t>
      </w:r>
      <w:r>
        <w:rPr>
          <w:rFonts w:hint="eastAsia" w:ascii="宋体" w:hAnsi="宋体" w:cs="宋体"/>
          <w:color w:val="000000" w:themeColor="text1"/>
          <w:sz w:val="21"/>
          <w:szCs w:val="21"/>
          <w:highlight w:val="none"/>
          <w:lang w:val="en-US" w:eastAsia="zh-CN"/>
          <w14:textFill>
            <w14:solidFill>
              <w14:schemeClr w14:val="tx1"/>
            </w14:solidFill>
          </w14:textFill>
        </w:rPr>
        <w:t xml:space="preserve">或完成安装调试</w:t>
      </w:r>
      <w:r>
        <w:rPr>
          <w:rFonts w:hint="eastAsia" w:ascii="宋体" w:hAnsi="宋体" w:eastAsia="宋体" w:cs="宋体"/>
          <w:color w:val="000000" w:themeColor="text1"/>
          <w:sz w:val="21"/>
          <w:szCs w:val="21"/>
          <w:highlight w:val="none"/>
          <w14:textFill>
            <w14:solidFill>
              <w14:schemeClr w14:val="tx1"/>
            </w14:solidFill>
          </w14:textFill>
        </w:rPr>
        <w:t xml:space="preserve">的，甲方可解除本合同。乙方因逾期交货或因其他违约行为导致甲方解除合同的，乙方应向甲方支付合同总值</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的违约金，如造成甲方损失超过违约金的，超出部分由乙方继续承担赔偿责任。 </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十四、不可抗力事件处理</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14.1在合同有效期内，任何一方因不可抗力事件导致不能履行合同，则合同履行期可延长，其延长期与不可抗力影响期相同。</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14.2不可抗力事件发生后，应立即通知对方，并寄送有关权威机构出具的证明。</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14.3不可抗力事件延续120天以上，双方应通过友好协商，确定是否继续履行合同。</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十五、解决争议的方法</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15.1甲乙双方因合同签订、履行而发生的一切争议，应通过友好协商解决。如协商不成由甲方住所地人民法院管辖。</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十六、合同生效及其</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他</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16.1 合同经双方法定代表人或授权委托代表人签字并加盖单位公章后生效。</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16.2本合同未尽事宜，遵照《</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中华人民共和国民法典》《中华人民共和国政府采购法</w:t>
      </w:r>
      <w:r>
        <w:rPr>
          <w:rFonts w:hint="eastAsia" w:ascii="宋体" w:hAnsi="宋体" w:eastAsia="宋体" w:cs="宋体"/>
          <w:color w:val="000000" w:themeColor="text1"/>
          <w:sz w:val="21"/>
          <w:szCs w:val="21"/>
          <w:highlight w:val="none"/>
          <w14:textFill>
            <w14:solidFill>
              <w14:schemeClr w14:val="tx1"/>
            </w14:solidFill>
          </w14:textFill>
        </w:rPr>
        <w:t xml:space="preserve">》有关条文执行。</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16.3 本合同正本一式四份，具有同等法律效力，甲方三份、乙方一份。</w:t>
      </w:r>
      <w:r/>
    </w:p>
    <w:p>
      <w:pPr>
        <w:ind w:firstLine="48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十七、合同附件（注：可按需添加附件）</w:t>
      </w:r>
      <w:r/>
    </w:p>
    <w:p>
      <w:pPr>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480" w:hanging="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甲方：江南大学附属医院                  乙方： </w:t>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地址：无锡市滨湖区和风路 1000 号        地址： </w:t>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法定代表人或授权代表：                  法定代表人或授权代表：</w:t>
      </w:r>
      <w:r/>
    </w:p>
    <w:p>
      <w:pPr>
        <w:ind w:firstLine="24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24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2025年    月   日                       2025年    月   日</w:t>
      </w:r>
      <w:r/>
    </w:p>
    <w:p>
      <w:pPr>
        <w:ind w:firstLine="24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乙方户名：</w:t>
      </w:r>
      <w:r/>
    </w:p>
    <w:p>
      <w:pPr>
        <w:ind w:firstLine="480"/>
        <w:keepLines w:val="0"/>
        <w:keepNext w:val="0"/>
        <w:pageBreakBefore w:val="0"/>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乙方开户银行：</w:t>
      </w:r>
      <w:r/>
    </w:p>
    <w:p>
      <w:pPr>
        <w:ind w:firstLine="40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乙方账号：</w:t>
      </w:r>
      <w:r/>
    </w:p>
    <w:p>
      <w:pPr>
        <w:ind w:firstLine="4840"/>
        <w:spacing w:line="360" w:lineRule="auto"/>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eastAsia="黑体"/>
          <w:color w:val="000000" w:themeColor="text1"/>
          <w:sz w:val="44"/>
          <w:szCs w:val="44"/>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w:t>
      </w:r>
      <w:bookmarkEnd w:id="182"/>
      <w:r>
        <w:rPr>
          <w:rFonts w:hint="eastAsia" w:ascii="黑体" w:eastAsia="黑体"/>
          <w:bCs/>
          <w:color w:val="000000" w:themeColor="text1"/>
          <w:sz w:val="36"/>
          <w:szCs w:val="36"/>
          <w:highlight w:val="none"/>
          <w14:textFill>
            <w14:solidFill>
              <w14:schemeClr w14:val="tx1"/>
            </w14:solidFill>
          </w14:textFill>
        </w:rPr>
        <w:t xml:space="preserve">四章 采购需求</w:t>
      </w:r>
      <w:bookmarkEnd w:id="183"/>
      <w:r/>
      <w:bookmarkEnd w:id="184"/>
      <w:r/>
      <w:bookmarkEnd w:id="185"/>
      <w:r/>
      <w:r/>
    </w:p>
    <w:p>
      <w:pPr>
        <w:ind w:firstLine="6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bookmarkStart w:id="188" w:name="_Toc49090575"/>
      <w:r/>
      <w:bookmarkStart w:id="189" w:name="_Toc26554093"/>
      <w:r>
        <w:rPr>
          <w:rFonts w:hint="eastAsia" w:ascii="黑体" w:hAnsi="黑体" w:eastAsia="黑体"/>
          <w:color w:val="000000" w:themeColor="text1"/>
          <w:sz w:val="30"/>
          <w:szCs w:val="30"/>
          <w:highlight w:val="non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本项目标的物所属行业：</w:t>
      </w:r>
      <w:r>
        <w:rPr>
          <w:rFonts w:ascii="宋体" w:hAnsi="宋体"/>
          <w:bCs/>
          <w:color w:val="000000" w:themeColor="text1"/>
          <w:sz w:val="24"/>
          <w:szCs w:val="24"/>
          <w:highlight w:val="none"/>
          <w14:textFill>
            <w14:solidFill>
              <w14:schemeClr w14:val="tx1"/>
            </w14:solidFill>
          </w14:textFill>
        </w:rPr>
        <w:t xml:space="preserve">工业</w:t>
      </w:r>
      <w:r>
        <w:rPr>
          <w:rFonts w:hint="eastAsia" w:ascii="宋体" w:hAnsi="宋体"/>
          <w:bCs/>
          <w:color w:val="000000" w:themeColor="text1"/>
          <w:sz w:val="24"/>
          <w:szCs w:val="24"/>
          <w:highlight w:val="none"/>
          <w14:textFill>
            <w14:solidFill>
              <w14:schemeClr w14:val="tx1"/>
            </w14:solidFill>
          </w14:textFill>
        </w:rPr>
        <w:t xml:space="preserve">（制造业）</w:t>
      </w:r>
      <w:r/>
    </w:p>
    <w:p>
      <w:pPr>
        <w:ind w:firstLine="480"/>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本项目中的</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胃肠镜主机、高清电子胃镜、高清电子肠镜</w:t>
      </w:r>
      <w:r>
        <w:rPr>
          <w:rFonts w:hint="eastAsia" w:ascii="宋体" w:hAnsi="宋体" w:eastAsia="宋体" w:cs="Times New Roman"/>
          <w:bCs/>
          <w:color w:val="000000" w:themeColor="text1"/>
          <w:sz w:val="24"/>
          <w:szCs w:val="24"/>
          <w:highlight w:val="none"/>
          <w14:textFill>
            <w14:solidFill>
              <w14:schemeClr w14:val="tx1"/>
            </w14:solidFill>
          </w14:textFill>
        </w:rPr>
        <w:t xml:space="preserve">为核心产品。</w:t>
      </w:r>
      <w:r/>
    </w:p>
    <w:p>
      <w:pPr>
        <w:ind w:firstLine="600"/>
        <w:jc w:val="left"/>
        <w:spacing w:line="360" w:lineRule="auto"/>
        <w:rPr>
          <w:rFonts w:hint="eastAsia" w:ascii="黑体" w:hAnsi="黑体" w:eastAsia="黑体"/>
          <w:color w:val="000000" w:themeColor="text1"/>
          <w:sz w:val="24"/>
          <w:szCs w:val="24"/>
          <w:highlight w:val="none"/>
          <w:u w:val="single"/>
          <w14:textFill>
            <w14:solidFill>
              <w14:schemeClr w14:val="tx1"/>
            </w14:solidFill>
          </w14:textFill>
        </w:rPr>
      </w:pPr>
      <w:r>
        <w:rPr>
          <w:rFonts w:hint="eastAsia" w:ascii="黑体" w:hAnsi="黑体" w:eastAsia="黑体"/>
          <w:color w:val="000000" w:themeColor="text1"/>
          <w:sz w:val="24"/>
          <w:szCs w:val="24"/>
          <w:highlight w:val="none"/>
          <w:u w:val="single"/>
          <w14:textFill>
            <w14:solidFill>
              <w14:schemeClr w14:val="tx1"/>
            </w14:solidFill>
          </w14:textFill>
        </w:rPr>
        <w:t xml:space="preserve">第一部分  项目技术要求</w:t>
      </w:r>
      <w:r/>
    </w:p>
    <w:p>
      <w:pPr>
        <w:ind w:firstLine="420"/>
        <w:jc w:val="left"/>
        <w:spacing w:line="360" w:lineRule="auto"/>
        <w:shd w:val="clear" w:color="auto" w:fill="ffffff"/>
        <w:widowControl/>
        <w:rPr>
          <w:rFonts w:ascii="宋体" w:hAnsi="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none"/>
          <w:u w:val="single"/>
          <w14:textFill>
            <w14:solidFill>
              <w14:schemeClr w14:val="tx1"/>
            </w14:solidFill>
          </w14:textFill>
        </w:rPr>
        <w:t xml:space="preserve">。并如实地在《投标偏离表》中按招标文件“采购需求”中</w:t>
      </w:r>
      <w:r>
        <w:rPr>
          <w:rFonts w:hint="eastAsia" w:ascii="宋体" w:hAnsi="宋体"/>
          <w:b/>
          <w:bCs/>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lang w:val="en-US" w:eastAsia="zh-CN"/>
          <w14:textFill>
            <w14:solidFill>
              <w14:schemeClr w14:val="tx1"/>
            </w14:solidFill>
          </w14:textFill>
        </w:rPr>
        <w:t xml:space="preserve">项目配置</w:t>
      </w:r>
      <w:r>
        <w:rPr>
          <w:rFonts w:hint="eastAsia" w:ascii="宋体" w:hAnsi="宋体"/>
          <w:b/>
          <w:bCs/>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lang w:eastAsia="zh-CN"/>
          <w14:textFill>
            <w14:solidFill>
              <w14:schemeClr w14:val="tx1"/>
            </w14:solidFill>
          </w14:textFill>
        </w:rPr>
        <w:t xml:space="preserve">“</w:t>
      </w:r>
      <w:r>
        <w:rPr>
          <w:rFonts w:hint="eastAsia" w:ascii="宋体" w:hAnsi="宋体"/>
          <w:b/>
          <w:bCs/>
          <w:color w:val="000000" w:themeColor="text1"/>
          <w:sz w:val="24"/>
          <w:szCs w:val="24"/>
          <w:highlight w:val="none"/>
          <w:u w:val="single"/>
          <w:lang w:val="en-US" w:eastAsia="zh-CN"/>
          <w14:textFill>
            <w14:solidFill>
              <w14:schemeClr w14:val="tx1"/>
            </w14:solidFill>
          </w14:textFill>
        </w:rPr>
        <w:t xml:space="preserve">技术参数</w:t>
      </w:r>
      <w:r>
        <w:rPr>
          <w:rFonts w:hint="eastAsia" w:ascii="宋体" w:hAnsi="宋体"/>
          <w:b/>
          <w:bCs/>
          <w:color w:val="000000" w:themeColor="text1"/>
          <w:sz w:val="24"/>
          <w:szCs w:val="24"/>
          <w:highlight w:val="none"/>
          <w:u w:val="single"/>
          <w:lang w:eastAsia="zh-CN"/>
          <w14:textFill>
            <w14:solidFill>
              <w14:schemeClr w14:val="tx1"/>
            </w14:solidFill>
          </w14:textFill>
        </w:rPr>
        <w:t xml:space="preserve">”“</w:t>
      </w:r>
      <w:r>
        <w:rPr>
          <w:rFonts w:hint="eastAsia" w:ascii="宋体" w:hAnsi="宋体"/>
          <w:b/>
          <w:bCs/>
          <w:color w:val="000000" w:themeColor="text1"/>
          <w:sz w:val="24"/>
          <w:szCs w:val="24"/>
          <w:highlight w:val="none"/>
          <w:u w:val="single"/>
          <w:lang w:val="en-US" w:eastAsia="zh-CN"/>
          <w14:textFill>
            <w14:solidFill>
              <w14:schemeClr w14:val="tx1"/>
            </w14:solidFill>
          </w14:textFill>
        </w:rPr>
        <w:t xml:space="preserve">商务需求</w:t>
      </w:r>
      <w:r>
        <w:rPr>
          <w:rFonts w:hint="eastAsia" w:ascii="宋体" w:hAnsi="宋体"/>
          <w:b/>
          <w:bCs/>
          <w:color w:val="000000" w:themeColor="text1"/>
          <w:sz w:val="24"/>
          <w:szCs w:val="24"/>
          <w:highlight w:val="none"/>
          <w:u w:val="single"/>
          <w:lang w:eastAsia="zh-CN"/>
          <w14:textFill>
            <w14:solidFill>
              <w14:schemeClr w14:val="tx1"/>
            </w14:solidFill>
          </w14:textFill>
        </w:rPr>
        <w:t xml:space="preserve">”</w:t>
      </w:r>
      <w:r>
        <w:rPr>
          <w:rFonts w:hint="eastAsia" w:ascii="宋体" w:hAnsi="宋体"/>
          <w:b/>
          <w:bCs/>
          <w:color w:val="000000" w:themeColor="text1"/>
          <w:sz w:val="24"/>
          <w:szCs w:val="24"/>
          <w:highlight w:val="none"/>
          <w:u w:val="single"/>
          <w:lang w:val="en-US" w:eastAsia="zh-CN"/>
          <w14:textFill>
            <w14:solidFill>
              <w14:schemeClr w14:val="tx1"/>
            </w14:solidFill>
          </w14:textFill>
        </w:rPr>
        <w:t xml:space="preserve">等</w:t>
      </w:r>
      <w:r>
        <w:rPr>
          <w:rFonts w:hint="eastAsia" w:ascii="宋体" w:hAnsi="宋体"/>
          <w:color w:val="000000" w:themeColor="text1"/>
          <w:sz w:val="24"/>
          <w:szCs w:val="24"/>
          <w:highlight w:val="none"/>
          <w:u w:val="single"/>
          <w14:textFill>
            <w14:solidFill>
              <w14:schemeClr w14:val="tx1"/>
            </w14:solidFill>
          </w14:textFill>
        </w:rPr>
        <w:t xml:space="preserve">内容逐条标明满足与否，并对其真实性负责。技术条款</w:t>
      </w:r>
      <w:r>
        <w:rPr>
          <w:rFonts w:hint="eastAsia" w:ascii="宋体" w:hAnsi="宋体"/>
          <w:b/>
          <w:bCs/>
          <w:color w:val="000000" w:themeColor="text1"/>
          <w:sz w:val="24"/>
          <w:szCs w:val="24"/>
          <w:highlight w:val="none"/>
          <w:u w:val="single"/>
          <w14:textFill>
            <w14:solidFill>
              <w14:schemeClr w14:val="tx1"/>
            </w14:solidFill>
          </w14:textFill>
        </w:rPr>
        <w:t xml:space="preserve">必须</w:t>
      </w:r>
      <w:r>
        <w:rPr>
          <w:rFonts w:hint="eastAsia" w:ascii="宋体" w:hAnsi="宋体"/>
          <w:color w:val="000000" w:themeColor="text1"/>
          <w:sz w:val="24"/>
          <w:szCs w:val="24"/>
          <w:highlight w:val="none"/>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eastAsia="宋体" w:cs="宋体"/>
          <w:color w:val="000000"/>
          <w:sz w:val="24"/>
          <w:szCs w:val="24"/>
          <w:highlight w:val="none"/>
          <w:u w:val="single"/>
        </w:rPr>
        <w:t xml:space="preserve">（须体现所投产品品牌型号）</w:t>
      </w:r>
      <w:r>
        <w:rPr>
          <w:rFonts w:hint="eastAsia" w:ascii="宋体" w:hAnsi="宋体"/>
          <w:color w:val="000000" w:themeColor="text1"/>
          <w:sz w:val="24"/>
          <w:szCs w:val="24"/>
          <w:highlight w:val="none"/>
          <w:u w:val="single"/>
          <w14:textFill>
            <w14:solidFill>
              <w14:schemeClr w14:val="tx1"/>
            </w14:solidFill>
          </w14:textFill>
        </w:rPr>
        <w:t xml:space="preserve">等），未提供技术支持资料或提供的技术支持资料不能佐证偏离表内容的，评审时不予认可，★号指标不满足即无效标书。</w:t>
      </w:r>
      <w:r/>
    </w:p>
    <w:p>
      <w:pPr>
        <w:jc w:val="left"/>
        <w:spacing w:line="360" w:lineRule="auto"/>
        <w:shd w:val="clear" w:color="auto" w:fill="ffffff"/>
        <w:widowControl/>
        <w:rPr>
          <w:rFonts w:hint="eastAsia" w:ascii="宋体" w:hAnsi="宋体"/>
          <w:b/>
          <w:bCs/>
          <w:color w:val="000000" w:themeColor="text1"/>
          <w:sz w:val="24"/>
          <w:szCs w:val="24"/>
          <w:highlight w:val="none"/>
          <w:u w:val="single"/>
          <w14:textFill>
            <w14:solidFill>
              <w14:schemeClr w14:val="tx1"/>
            </w14:solidFill>
          </w14:textFill>
        </w:rPr>
      </w:pPr>
      <w:r>
        <w:rPr>
          <w:rFonts w:hint="eastAsia" w:ascii="宋体" w:hAnsi="宋体"/>
          <w:b/>
          <w:bCs/>
          <w:color w:val="000000" w:themeColor="text1"/>
          <w:sz w:val="24"/>
          <w:szCs w:val="24"/>
          <w:highlight w:val="none"/>
          <w:u w:val="single"/>
          <w:lang w:val="en-US" w:eastAsia="zh-CN"/>
          <w14:textFill>
            <w14:solidFill>
              <w14:schemeClr w14:val="tx1"/>
            </w14:solidFill>
          </w14:textFill>
        </w:rPr>
        <w:t xml:space="preserve">一、</w:t>
      </w:r>
      <w:r>
        <w:rPr>
          <w:rFonts w:hint="eastAsia" w:ascii="宋体" w:hAnsi="宋体"/>
          <w:b/>
          <w:bCs/>
          <w:color w:val="000000" w:themeColor="text1"/>
          <w:sz w:val="24"/>
          <w:szCs w:val="24"/>
          <w:highlight w:val="none"/>
          <w:u w:val="single"/>
          <w14:textFill>
            <w14:solidFill>
              <w14:schemeClr w14:val="tx1"/>
            </w14:solidFill>
          </w14:textFill>
        </w:rPr>
        <w:t xml:space="preserve">★项目配置：</w:t>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3613"/>
        <w:gridCol w:w="1016"/>
        <w:gridCol w:w="937"/>
      </w:tblGrid>
      <w:tr>
        <w:trPr>
          <w:jc w:val="center"/>
          <w:trHeight w:val="474"/>
        </w:trPr>
        <w:tc>
          <w:tcPr>
            <w:tcW w:w="988"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bookmarkStart w:id="190" w:name="_Hlk207198576"/>
            <w:r>
              <w:rPr>
                <w:rFonts w:hint="eastAsia" w:ascii="宋体" w:hAnsi="宋体" w:cstheme="minorEastAsia"/>
                <w:color w:val="auto"/>
                <w:sz w:val="24"/>
                <w:szCs w:val="24"/>
              </w:rPr>
              <w:t xml:space="preserve">序号</w:t>
            </w:r>
            <w:r/>
          </w:p>
        </w:tc>
        <w:tc>
          <w:tcPr>
            <w:tcW w:w="3613"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名称</w:t>
            </w:r>
            <w:r/>
          </w:p>
        </w:tc>
        <w:tc>
          <w:tcPr>
            <w:tcW w:w="1016"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单位</w:t>
            </w:r>
            <w:r/>
          </w:p>
        </w:tc>
        <w:tc>
          <w:tcPr>
            <w:tcW w:w="937"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数量</w:t>
            </w:r>
            <w:r/>
          </w:p>
        </w:tc>
      </w:tr>
      <w:tr>
        <w:trPr>
          <w:jc w:val="center"/>
        </w:trPr>
        <w:tc>
          <w:tcPr>
            <w:tcW w:w="988"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1</w:t>
            </w:r>
            <w:r/>
          </w:p>
        </w:tc>
        <w:tc>
          <w:tcPr>
            <w:tcW w:w="36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rPr>
            </w:pPr>
            <w:r>
              <w:rPr>
                <w:rFonts w:hint="eastAsia" w:ascii="宋体" w:hAnsi="宋体" w:cs="Arial"/>
                <w:sz w:val="24"/>
                <w:szCs w:val="24"/>
              </w:rPr>
              <w:t xml:space="preserve">胃肠镜主机</w:t>
            </w:r>
            <w:r>
              <w:rPr>
                <w:rFonts w:hint="eastAsia" w:ascii="宋体" w:hAnsi="宋体" w:cs="Arial"/>
                <w:sz w:val="24"/>
                <w:szCs w:val="24"/>
                <w:lang w:eastAsia="zh-CN"/>
              </w:rPr>
              <w:t xml:space="preserve">（</w:t>
            </w:r>
            <w:r>
              <w:rPr>
                <w:rFonts w:hint="eastAsia" w:ascii="宋体" w:hAnsi="宋体" w:cs="Arial"/>
                <w:sz w:val="24"/>
                <w:szCs w:val="24"/>
                <w:lang w:val="en-US" w:eastAsia="zh-CN"/>
              </w:rPr>
              <w:t xml:space="preserve">含光源</w:t>
            </w:r>
            <w:r>
              <w:rPr>
                <w:rFonts w:hint="eastAsia" w:ascii="宋体" w:hAnsi="宋体" w:cs="Arial"/>
                <w:sz w:val="24"/>
                <w:szCs w:val="24"/>
                <w:lang w:eastAsia="zh-CN"/>
              </w:rPr>
              <w:t xml:space="preserve">）</w:t>
            </w:r>
            <w:r/>
          </w:p>
        </w:tc>
        <w:tc>
          <w:tcPr>
            <w:tcW w:w="101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台</w:t>
            </w:r>
            <w:r/>
          </w:p>
        </w:tc>
        <w:tc>
          <w:tcPr>
            <w:tcW w:w="93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1</w:t>
            </w:r>
            <w:r/>
          </w:p>
        </w:tc>
      </w:tr>
      <w:tr>
        <w:trPr>
          <w:jc w:val="center"/>
        </w:trPr>
        <w:tc>
          <w:tcPr>
            <w:tcW w:w="988"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ascii="宋体" w:hAnsi="宋体" w:cstheme="minorEastAsia"/>
                <w:color w:val="auto"/>
                <w:sz w:val="24"/>
                <w:szCs w:val="24"/>
              </w:rPr>
              <w:t xml:space="preserve">2</w:t>
            </w:r>
            <w:r/>
          </w:p>
        </w:tc>
        <w:tc>
          <w:tcPr>
            <w:tcW w:w="361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rPr>
            </w:pPr>
            <w:r>
              <w:rPr>
                <w:rFonts w:hint="eastAsia" w:ascii="宋体" w:hAnsi="宋体" w:cs="Arial"/>
                <w:sz w:val="24"/>
                <w:szCs w:val="24"/>
              </w:rPr>
              <w:t xml:space="preserve">医用显示器</w:t>
            </w:r>
            <w:r/>
          </w:p>
        </w:tc>
        <w:tc>
          <w:tcPr>
            <w:tcW w:w="101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台</w:t>
            </w:r>
            <w:r/>
          </w:p>
        </w:tc>
        <w:tc>
          <w:tcPr>
            <w:tcW w:w="93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1</w:t>
            </w:r>
            <w:r/>
          </w:p>
        </w:tc>
      </w:tr>
      <w:tr>
        <w:trPr>
          <w:jc w:val="center"/>
        </w:trPr>
        <w:tc>
          <w:tcPr>
            <w:tcW w:w="9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rPr>
            </w:pPr>
            <w:r>
              <w:rPr>
                <w:rFonts w:hint="eastAsia" w:ascii="宋体" w:hAnsi="宋体" w:cstheme="minorEastAsia"/>
                <w:color w:val="auto"/>
                <w:sz w:val="24"/>
                <w:szCs w:val="24"/>
                <w:lang w:val="en-US" w:eastAsia="zh-CN"/>
              </w:rPr>
              <w:t xml:space="preserve">3</w:t>
            </w:r>
            <w:r/>
          </w:p>
        </w:tc>
        <w:tc>
          <w:tcPr>
            <w:tcW w:w="36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Arial"/>
                <w:sz w:val="24"/>
                <w:szCs w:val="24"/>
                <w:lang w:val="en-US" w:eastAsia="zh-CN"/>
              </w:rPr>
            </w:pPr>
            <w:r>
              <w:rPr>
                <w:rFonts w:hint="eastAsia" w:ascii="宋体" w:hAnsi="宋体" w:cs="Arial"/>
                <w:sz w:val="24"/>
                <w:szCs w:val="24"/>
                <w:lang w:val="en-US" w:eastAsia="zh-CN"/>
              </w:rPr>
              <w:t xml:space="preserve">台车</w:t>
            </w:r>
            <w:r/>
          </w:p>
        </w:tc>
        <w:tc>
          <w:tcPr>
            <w:tcW w:w="1016"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台</w:t>
            </w:r>
            <w:r/>
          </w:p>
        </w:tc>
        <w:tc>
          <w:tcPr>
            <w:tcW w:w="937"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1</w:t>
            </w:r>
            <w:r/>
          </w:p>
        </w:tc>
      </w:tr>
      <w:tr>
        <w:trPr>
          <w:jc w:val="center"/>
        </w:trPr>
        <w:tc>
          <w:tcPr>
            <w:tcW w:w="9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4</w:t>
            </w:r>
            <w:r/>
          </w:p>
        </w:tc>
        <w:tc>
          <w:tcPr>
            <w:tcW w:w="361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rPr>
            </w:pPr>
            <w:r>
              <w:rPr>
                <w:rFonts w:hint="eastAsia" w:ascii="宋体" w:hAnsi="宋体" w:cs="Arial"/>
                <w:sz w:val="24"/>
                <w:szCs w:val="24"/>
              </w:rPr>
              <w:t xml:space="preserve">水泵</w:t>
            </w:r>
            <w:r/>
          </w:p>
        </w:tc>
        <w:tc>
          <w:tcPr>
            <w:tcW w:w="101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台</w:t>
            </w:r>
            <w:r/>
          </w:p>
        </w:tc>
        <w:tc>
          <w:tcPr>
            <w:tcW w:w="937"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heme="minorEastAsia"/>
                <w:color w:val="auto"/>
                <w:sz w:val="24"/>
                <w:szCs w:val="24"/>
                <w:lang w:val="en-US" w:eastAsia="zh-CN"/>
              </w:rPr>
            </w:pPr>
            <w:r>
              <w:rPr>
                <w:rFonts w:hint="eastAsia" w:ascii="宋体" w:hAnsi="宋体" w:cstheme="minorEastAsia"/>
                <w:color w:val="auto"/>
                <w:sz w:val="24"/>
                <w:szCs w:val="24"/>
                <w:lang w:val="en-US" w:eastAsia="zh-CN"/>
              </w:rPr>
              <w:t xml:space="preserve">1</w:t>
            </w:r>
            <w:r/>
          </w:p>
        </w:tc>
      </w:tr>
      <w:tr>
        <w:trPr>
          <w:jc w:val="center"/>
        </w:trPr>
        <w:tc>
          <w:tcPr>
            <w:tcW w:w="9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5</w:t>
            </w:r>
            <w:r/>
          </w:p>
        </w:tc>
        <w:tc>
          <w:tcPr>
            <w:tcW w:w="361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rPr>
            </w:pPr>
            <w:r>
              <w:rPr>
                <w:rFonts w:hint="eastAsia" w:ascii="宋体" w:hAnsi="宋体" w:cs="Arial"/>
                <w:sz w:val="24"/>
                <w:szCs w:val="24"/>
              </w:rPr>
              <w:t xml:space="preserve">二氧化碳</w:t>
            </w:r>
            <w:r>
              <w:rPr>
                <w:rFonts w:hint="eastAsia" w:ascii="宋体" w:hAnsi="宋体" w:cs="Arial"/>
                <w:sz w:val="24"/>
                <w:szCs w:val="24"/>
                <w:lang w:val="en-US" w:eastAsia="zh-CN"/>
              </w:rPr>
              <w:t xml:space="preserve">气</w:t>
            </w:r>
            <w:r>
              <w:rPr>
                <w:rFonts w:hint="eastAsia" w:ascii="宋体" w:hAnsi="宋体" w:cs="Arial"/>
                <w:sz w:val="24"/>
                <w:szCs w:val="24"/>
              </w:rPr>
              <w:t xml:space="preserve">泵</w:t>
            </w:r>
            <w:r/>
          </w:p>
        </w:tc>
        <w:tc>
          <w:tcPr>
            <w:tcW w:w="101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heme="minorEastAsia"/>
                <w:color w:val="auto"/>
                <w:sz w:val="24"/>
                <w:szCs w:val="24"/>
                <w:lang w:val="en-US" w:eastAsia="zh-CN"/>
              </w:rPr>
            </w:pPr>
            <w:r>
              <w:rPr>
                <w:rFonts w:hint="eastAsia" w:ascii="宋体" w:hAnsi="宋体" w:cstheme="minorEastAsia"/>
                <w:color w:val="auto"/>
                <w:sz w:val="24"/>
                <w:szCs w:val="24"/>
                <w:lang w:val="en-US" w:eastAsia="zh-CN"/>
              </w:rPr>
              <w:t xml:space="preserve">台</w:t>
            </w:r>
            <w:r/>
          </w:p>
        </w:tc>
        <w:tc>
          <w:tcPr>
            <w:tcW w:w="93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1</w:t>
            </w:r>
            <w:r/>
          </w:p>
        </w:tc>
      </w:tr>
      <w:tr>
        <w:trPr>
          <w:jc w:val="center"/>
        </w:trPr>
        <w:tc>
          <w:tcPr>
            <w:tcW w:w="9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6</w:t>
            </w:r>
            <w:r/>
          </w:p>
        </w:tc>
        <w:tc>
          <w:tcPr>
            <w:tcW w:w="36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高清电子胃镜（诊断镜）</w:t>
            </w:r>
            <w:r/>
          </w:p>
        </w:tc>
        <w:tc>
          <w:tcPr>
            <w:tcW w:w="101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根</w:t>
            </w:r>
            <w:r/>
          </w:p>
        </w:tc>
        <w:tc>
          <w:tcPr>
            <w:tcW w:w="93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1</w:t>
            </w:r>
            <w:r/>
          </w:p>
        </w:tc>
      </w:tr>
      <w:tr>
        <w:trPr>
          <w:jc w:val="center"/>
        </w:trPr>
        <w:tc>
          <w:tcPr>
            <w:tcW w:w="9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7</w:t>
            </w:r>
            <w:r/>
          </w:p>
        </w:tc>
        <w:tc>
          <w:tcPr>
            <w:tcW w:w="361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rPr>
            </w:pPr>
            <w:r>
              <w:rPr>
                <w:rFonts w:hint="eastAsia" w:ascii="宋体" w:hAnsi="宋体"/>
                <w:color w:val="auto"/>
                <w:sz w:val="24"/>
                <w:szCs w:val="24"/>
                <w:lang w:val="en-US" w:eastAsia="zh-CN"/>
              </w:rPr>
              <w:t xml:space="preserve">高清电子胃镜（治疗镜）</w:t>
            </w:r>
            <w:r/>
          </w:p>
        </w:tc>
        <w:tc>
          <w:tcPr>
            <w:tcW w:w="1016"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lang w:val="en-US" w:eastAsia="zh-CN"/>
              </w:rPr>
              <w:t xml:space="preserve">根</w:t>
            </w:r>
            <w:r/>
          </w:p>
        </w:tc>
        <w:tc>
          <w:tcPr>
            <w:tcW w:w="937"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lang w:val="en-US" w:eastAsia="zh-CN"/>
              </w:rPr>
              <w:t xml:space="preserve">1</w:t>
            </w:r>
            <w:r/>
          </w:p>
        </w:tc>
      </w:tr>
      <w:tr>
        <w:trPr>
          <w:jc w:val="center"/>
        </w:trPr>
        <w:tc>
          <w:tcPr>
            <w:tcW w:w="9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8</w:t>
            </w:r>
            <w:r/>
          </w:p>
        </w:tc>
        <w:tc>
          <w:tcPr>
            <w:tcW w:w="361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rPr>
            </w:pPr>
            <w:r>
              <w:rPr>
                <w:rFonts w:hint="eastAsia" w:ascii="宋体" w:hAnsi="宋体"/>
                <w:color w:val="auto"/>
                <w:sz w:val="24"/>
                <w:szCs w:val="24"/>
                <w:lang w:val="en-US" w:eastAsia="zh-CN"/>
              </w:rPr>
              <w:t xml:space="preserve">高清电子肠镜（诊断镜）</w:t>
            </w:r>
            <w:r/>
          </w:p>
        </w:tc>
        <w:tc>
          <w:tcPr>
            <w:tcW w:w="1016"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lang w:val="en-US" w:eastAsia="zh-CN"/>
              </w:rPr>
              <w:t xml:space="preserve">根</w:t>
            </w:r>
            <w:r/>
          </w:p>
        </w:tc>
        <w:tc>
          <w:tcPr>
            <w:tcW w:w="93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rPr>
            </w:pPr>
            <w:r>
              <w:rPr>
                <w:rFonts w:hint="eastAsia" w:ascii="宋体" w:hAnsi="宋体" w:cstheme="minorEastAsia"/>
                <w:color w:val="auto"/>
                <w:sz w:val="24"/>
                <w:szCs w:val="24"/>
                <w:lang w:val="en-US" w:eastAsia="zh-CN"/>
              </w:rPr>
              <w:t xml:space="preserve">3</w:t>
            </w:r>
            <w:bookmarkEnd w:id="190"/>
            <w:r/>
            <w:r/>
          </w:p>
        </w:tc>
      </w:tr>
    </w:tbl>
    <w:p>
      <w:pPr>
        <w:numPr>
          <w:ilvl w:val="0"/>
          <w:numId w:val="6"/>
        </w:numPr>
        <w:keepLines w:val="0"/>
        <w:keepNext w:val="0"/>
        <w:pageBreakBefore w:val="0"/>
        <w:spacing w:line="360" w:lineRule="auto"/>
        <w:widowControl w:val="off"/>
        <w:rPr>
          <w:rFonts w:hint="eastAsia" w:ascii="宋体" w:hAnsi="宋体"/>
          <w:b/>
          <w:bCs/>
          <w:color w:val="000000" w:themeColor="text1"/>
          <w:sz w:val="24"/>
          <w:szCs w:val="24"/>
          <w:highlight w:val="none"/>
          <w:u w:val="single"/>
          <w14:textFill>
            <w14:solidFill>
              <w14:schemeClr w14:val="tx1"/>
            </w14:solidFill>
          </w14:textFill>
        </w:rPr>
      </w:pPr>
      <w:r>
        <w:rPr>
          <w:rFonts w:hint="eastAsia" w:ascii="宋体" w:hAnsi="宋体"/>
          <w:b/>
          <w:bCs/>
          <w:color w:val="000000" w:themeColor="text1"/>
          <w:sz w:val="24"/>
          <w:szCs w:val="24"/>
          <w:highlight w:val="none"/>
          <w:u w:val="single"/>
          <w14:textFill>
            <w14:solidFill>
              <w14:schemeClr w14:val="tx1"/>
            </w14:solidFill>
          </w14:textFill>
        </w:rPr>
        <w:t xml:space="preserve">★技术参数：</w:t>
      </w:r>
      <w:r/>
    </w:p>
    <w:p>
      <w:pPr>
        <w:ind w:firstLine="482"/>
        <w:keepLines w:val="0"/>
        <w:keepNext w:val="0"/>
        <w:pageBreakBefore w:val="0"/>
        <w:spacing w:line="360" w:lineRule="auto"/>
        <w:widowControl w:val="off"/>
        <w:rPr>
          <w:rFonts w:hint="eastAsia" w:ascii="宋体" w:hAnsi="宋体"/>
          <w:b/>
          <w:color w:val="auto"/>
          <w:sz w:val="24"/>
          <w:szCs w:val="24"/>
          <w:lang w:val="en-US" w:eastAsia="zh-CN"/>
        </w:rPr>
      </w:pPr>
      <w:r>
        <w:rPr>
          <w:rFonts w:hint="eastAsia" w:ascii="宋体" w:hAnsi="宋体"/>
          <w:b/>
          <w:color w:val="auto"/>
          <w:sz w:val="24"/>
          <w:szCs w:val="24"/>
          <w:lang w:val="en-US" w:eastAsia="zh-CN"/>
        </w:rPr>
        <w:t xml:space="preserve">整体要求：</w:t>
      </w:r>
      <w:r>
        <w:rPr>
          <w:rFonts w:hint="eastAsia" w:ascii="宋体" w:hAnsi="宋体"/>
          <w:b w:val="0"/>
          <w:bCs/>
          <w:color w:val="auto"/>
          <w:sz w:val="24"/>
          <w:szCs w:val="24"/>
          <w:lang w:val="en-US" w:eastAsia="zh-CN"/>
        </w:rPr>
        <w:t xml:space="preserve">胃肠镜主机、高清电子胃镜、高清电子肠镜须为同一品牌，用于胃肠镜检查及治疗，可进行诊断、活检、止血、息肉切除等操作，适用于消化道出血、溃疡、息肉、肿瘤等多种病灶</w:t>
      </w:r>
      <w:r/>
    </w:p>
    <w:p>
      <w:pPr>
        <w:pStyle w:val="825"/>
        <w:numPr>
          <w:ilvl w:val="0"/>
          <w:numId w:val="0"/>
        </w:numPr>
        <w:ind w:left="400"/>
        <w:keepLines w:val="0"/>
        <w:keepNext w:val="0"/>
        <w:pageBreakBefore w:val="0"/>
        <w:spacing w:line="360" w:lineRule="auto"/>
        <w:rPr>
          <w:rFonts w:hint="default" w:ascii="宋体" w:hAnsi="宋体" w:eastAsia="宋体" w:cs="Times New Roman"/>
          <w:color w:val="auto"/>
          <w:sz w:val="24"/>
          <w:szCs w:val="24"/>
          <w:lang w:val="en-US" w:eastAsia="zh-CN"/>
        </w:rPr>
      </w:pPr>
      <w:r>
        <w:rPr>
          <w:rFonts w:hint="eastAsia" w:ascii="宋体" w:hAnsi="宋体" w:eastAsia="宋体" w:cs="Times New Roman"/>
          <w:b/>
          <w:bCs/>
          <w:color w:val="auto"/>
          <w:sz w:val="24"/>
          <w:szCs w:val="24"/>
          <w:lang w:val="en-US" w:eastAsia="zh-CN"/>
        </w:rPr>
        <w:t xml:space="preserve">胃肠镜主机：</w:t>
      </w:r>
      <w:r/>
    </w:p>
    <w:p>
      <w:pPr>
        <w:pStyle w:val="825"/>
        <w:numPr>
          <w:ilvl w:val="0"/>
          <w:numId w:val="7"/>
        </w:numPr>
        <w:keepLines w:val="0"/>
        <w:keepNext w:val="0"/>
        <w:pageBreakBefore w:val="0"/>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主机输出分辨率≥1920*1080</w:t>
      </w:r>
      <w:r/>
    </w:p>
    <w:p>
      <w:pPr>
        <w:pStyle w:val="825"/>
        <w:numPr>
          <w:ilvl w:val="0"/>
          <w:numId w:val="7"/>
        </w:numPr>
        <w:keepLines w:val="0"/>
        <w:keepNext w:val="0"/>
        <w:pageBreakBefore w:val="0"/>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色调调节≥9档</w:t>
      </w:r>
      <w:r/>
    </w:p>
    <w:p>
      <w:pPr>
        <w:pStyle w:val="825"/>
        <w:numPr>
          <w:ilvl w:val="0"/>
          <w:numId w:val="7"/>
        </w:numPr>
        <w:keepLines w:val="0"/>
        <w:keepNext w:val="0"/>
        <w:pageBreakBefore w:val="0"/>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患者数据输入量≥45名</w:t>
      </w:r>
      <w:r/>
    </w:p>
    <w:p>
      <w:pPr>
        <w:pStyle w:val="825"/>
        <w:numPr>
          <w:ilvl w:val="0"/>
          <w:numId w:val="7"/>
        </w:numPr>
        <w:keepLines w:val="0"/>
        <w:keepNext w:val="0"/>
        <w:pageBreakBefore w:val="0"/>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具备至少3种特殊光观察功能</w:t>
      </w:r>
      <w:r/>
    </w:p>
    <w:p>
      <w:pPr>
        <w:pStyle w:val="825"/>
        <w:numPr>
          <w:ilvl w:val="0"/>
          <w:numId w:val="7"/>
        </w:numPr>
        <w:keepLines w:val="0"/>
        <w:keepNext w:val="0"/>
        <w:pageBreakBefore w:val="0"/>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光源至少为3LED光源 </w:t>
      </w:r>
      <w:r/>
    </w:p>
    <w:p>
      <w:pPr>
        <w:pStyle w:val="825"/>
        <w:numPr>
          <w:ilvl w:val="0"/>
          <w:numId w:val="7"/>
        </w:numPr>
        <w:keepLines w:val="0"/>
        <w:keepNext w:val="0"/>
        <w:pageBreakBefore w:val="0"/>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主机可兼容超声电子内窥镜</w:t>
      </w:r>
      <w:r/>
    </w:p>
    <w:p>
      <w:pPr>
        <w:pStyle w:val="825"/>
        <w:numPr>
          <w:ilvl w:val="0"/>
          <w:numId w:val="7"/>
        </w:numPr>
        <w:keepLines w:val="0"/>
        <w:keepNext w:val="0"/>
        <w:pageBreakBefore w:val="0"/>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医用显示器：尺寸≥32英寸，分辨率≥3840*2160</w:t>
      </w:r>
      <w:r/>
    </w:p>
    <w:p>
      <w:pPr>
        <w:pStyle w:val="825"/>
        <w:numPr>
          <w:ilvl w:val="0"/>
          <w:numId w:val="0"/>
        </w:numPr>
        <w:ind w:left="400"/>
        <w:keepLines w:val="0"/>
        <w:keepNext w:val="0"/>
        <w:pageBreakBefore w:val="0"/>
        <w:spacing w:line="360" w:lineRule="auto"/>
        <w:rPr>
          <w:rFonts w:hint="eastAsia" w:ascii="宋体" w:hAnsi="宋体" w:eastAsia="宋体" w:cs="Times New Roman"/>
          <w:b/>
          <w:bCs/>
          <w:color w:val="auto"/>
          <w:sz w:val="24"/>
          <w:szCs w:val="24"/>
          <w:lang w:eastAsia="zh-CN"/>
        </w:rPr>
      </w:pPr>
      <w:r>
        <w:rPr>
          <w:rFonts w:hint="eastAsia" w:ascii="宋体" w:hAnsi="宋体" w:eastAsia="宋体" w:cs="Times New Roman"/>
          <w:b/>
          <w:bCs/>
          <w:color w:val="auto"/>
          <w:sz w:val="24"/>
          <w:szCs w:val="24"/>
          <w:lang w:eastAsia="zh-CN"/>
        </w:rPr>
        <w:t xml:space="preserve">高清电子胃镜（诊断镜）：</w:t>
      </w:r>
      <w:r/>
    </w:p>
    <w:p>
      <w:pPr>
        <w:pStyle w:val="825"/>
        <w:numPr>
          <w:ilvl w:val="0"/>
          <w:numId w:val="8"/>
        </w:numPr>
        <w:keepLines w:val="0"/>
        <w:keepNext w:val="0"/>
        <w:pageBreakBefore w:val="0"/>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常规视野角：≥140°</w:t>
      </w:r>
      <w:r/>
    </w:p>
    <w:p>
      <w:pPr>
        <w:pStyle w:val="825"/>
        <w:numPr>
          <w:ilvl w:val="0"/>
          <w:numId w:val="8"/>
        </w:numPr>
        <w:keepLines w:val="0"/>
        <w:keepNext w:val="0"/>
        <w:pageBreakBefore w:val="0"/>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先端部外径：</w:t>
      </w:r>
      <w:r>
        <w:rPr>
          <w:rFonts w:hint="eastAsia" w:ascii="宋体" w:hAnsi="宋体" w:eastAsia="宋体" w:cs="Times New Roman"/>
          <w:color w:val="auto"/>
          <w:lang w:eastAsia="zh-CN"/>
        </w:rPr>
        <w:t xml:space="preserve">≤</w:t>
      </w:r>
      <w:r>
        <w:rPr>
          <w:rFonts w:hint="eastAsia" w:ascii="宋体" w:hAnsi="宋体" w:cs="Times New Roman"/>
          <w:color w:val="auto"/>
          <w:lang w:val="en-US" w:eastAsia="zh-CN"/>
        </w:rPr>
        <w:t xml:space="preserve">10</w:t>
      </w:r>
      <w:r>
        <w:rPr>
          <w:rFonts w:hint="eastAsia" w:ascii="宋体" w:hAnsi="宋体" w:eastAsia="宋体" w:cs="Times New Roman"/>
          <w:color w:val="auto"/>
          <w:sz w:val="24"/>
          <w:szCs w:val="24"/>
          <w:lang w:eastAsia="zh-CN"/>
        </w:rPr>
        <w:t xml:space="preserve">mm </w:t>
      </w:r>
      <w:r/>
    </w:p>
    <w:p>
      <w:pPr>
        <w:pStyle w:val="825"/>
        <w:numPr>
          <w:ilvl w:val="0"/>
          <w:numId w:val="8"/>
        </w:numPr>
        <w:keepLines w:val="0"/>
        <w:keepNext w:val="0"/>
        <w:pageBreakBefore w:val="0"/>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插入部外径：</w:t>
      </w:r>
      <w:r>
        <w:rPr>
          <w:rFonts w:hint="eastAsia" w:ascii="宋体" w:hAnsi="宋体" w:eastAsia="宋体" w:cs="Times New Roman"/>
          <w:color w:val="auto"/>
          <w:lang w:eastAsia="zh-CN"/>
        </w:rPr>
        <w:t xml:space="preserve">≤9.</w:t>
      </w:r>
      <w:r>
        <w:rPr>
          <w:rFonts w:hint="eastAsia" w:ascii="宋体" w:hAnsi="宋体" w:cs="Times New Roman"/>
          <w:color w:val="auto"/>
          <w:lang w:val="en-US" w:eastAsia="zh-CN"/>
        </w:rPr>
        <w:t xml:space="preserve">7</w:t>
      </w:r>
      <w:r>
        <w:rPr>
          <w:rFonts w:hint="eastAsia" w:ascii="宋体" w:hAnsi="宋体" w:eastAsia="宋体" w:cs="Times New Roman"/>
          <w:color w:val="auto"/>
          <w:sz w:val="24"/>
          <w:szCs w:val="24"/>
          <w:lang w:eastAsia="zh-CN"/>
        </w:rPr>
        <w:t xml:space="preserve">mm  </w:t>
      </w:r>
      <w:r/>
    </w:p>
    <w:p>
      <w:pPr>
        <w:pStyle w:val="825"/>
        <w:numPr>
          <w:ilvl w:val="0"/>
          <w:numId w:val="8"/>
        </w:numPr>
        <w:keepLines w:val="0"/>
        <w:keepNext w:val="0"/>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lang w:eastAsia="zh-CN"/>
        </w:rPr>
        <w:t xml:space="preserve">弯曲角度：</w:t>
      </w:r>
      <w:r>
        <w:rPr>
          <w:rFonts w:hint="eastAsia" w:ascii="宋体" w:hAnsi="宋体" w:eastAsia="宋体" w:cs="Times New Roman"/>
          <w:color w:val="auto"/>
          <w:sz w:val="24"/>
          <w:szCs w:val="24"/>
          <w:highlight w:val="none"/>
          <w:lang w:eastAsia="zh-CN"/>
        </w:rPr>
        <w:t xml:space="preserve">上≥210°，下≥90°，左≥100°，右≥100°</w:t>
      </w:r>
      <w:r/>
    </w:p>
    <w:p>
      <w:pPr>
        <w:pStyle w:val="825"/>
        <w:numPr>
          <w:ilvl w:val="0"/>
          <w:numId w:val="8"/>
        </w:numPr>
        <w:keepLines w:val="0"/>
        <w:keepNext w:val="0"/>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有效长度：≥1030mm</w:t>
      </w:r>
      <w:r/>
    </w:p>
    <w:p>
      <w:pPr>
        <w:pStyle w:val="825"/>
        <w:numPr>
          <w:ilvl w:val="0"/>
          <w:numId w:val="8"/>
        </w:numPr>
        <w:keepLines w:val="0"/>
        <w:keepNext w:val="0"/>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钳子管道内径：≥2.8mm</w:t>
      </w:r>
      <w:r/>
    </w:p>
    <w:p>
      <w:pPr>
        <w:pStyle w:val="825"/>
        <w:numPr>
          <w:ilvl w:val="0"/>
          <w:numId w:val="0"/>
        </w:numPr>
        <w:ind w:left="400"/>
        <w:keepLines w:val="0"/>
        <w:keepNext w:val="0"/>
        <w:pageBreakBefore w:val="0"/>
        <w:spacing w:line="36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高清电子胃镜（治疗镜）：</w:t>
      </w:r>
      <w:r/>
    </w:p>
    <w:p>
      <w:pPr>
        <w:pStyle w:val="825"/>
        <w:numPr>
          <w:ilvl w:val="0"/>
          <w:numId w:val="9"/>
        </w:numPr>
        <w:keepLines w:val="0"/>
        <w:keepNext w:val="0"/>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常规视野角：≥140°</w:t>
      </w:r>
      <w:r/>
    </w:p>
    <w:p>
      <w:pPr>
        <w:pStyle w:val="825"/>
        <w:numPr>
          <w:ilvl w:val="0"/>
          <w:numId w:val="9"/>
        </w:numPr>
        <w:keepLines w:val="0"/>
        <w:keepNext w:val="0"/>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先端部外径：</w:t>
      </w:r>
      <w:r>
        <w:rPr>
          <w:rFonts w:hint="eastAsia" w:ascii="宋体" w:hAnsi="宋体" w:eastAsia="宋体" w:cs="Times New Roman"/>
          <w:color w:val="auto"/>
          <w:highlight w:val="none"/>
          <w:lang w:eastAsia="zh-CN"/>
        </w:rPr>
        <w:t xml:space="preserve">≤9.8</w:t>
      </w:r>
      <w:r>
        <w:rPr>
          <w:rFonts w:hint="eastAsia" w:ascii="宋体" w:hAnsi="宋体" w:eastAsia="宋体" w:cs="Times New Roman"/>
          <w:color w:val="auto"/>
          <w:sz w:val="24"/>
          <w:szCs w:val="24"/>
          <w:highlight w:val="none"/>
          <w:lang w:eastAsia="zh-CN"/>
        </w:rPr>
        <w:t xml:space="preserve">mm  </w:t>
      </w:r>
      <w:r/>
    </w:p>
    <w:p>
      <w:pPr>
        <w:pStyle w:val="825"/>
        <w:numPr>
          <w:ilvl w:val="0"/>
          <w:numId w:val="9"/>
        </w:numPr>
        <w:keepLines w:val="0"/>
        <w:keepNext w:val="0"/>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插入部外径：</w:t>
      </w:r>
      <w:r>
        <w:rPr>
          <w:rFonts w:hint="eastAsia" w:ascii="宋体" w:hAnsi="宋体" w:eastAsia="宋体" w:cs="Times New Roman"/>
          <w:color w:val="auto"/>
          <w:highlight w:val="none"/>
          <w:lang w:eastAsia="zh-CN"/>
        </w:rPr>
        <w:t xml:space="preserve">≤9.9</w:t>
      </w:r>
      <w:r>
        <w:rPr>
          <w:rFonts w:hint="eastAsia" w:ascii="宋体" w:hAnsi="宋体" w:eastAsia="宋体" w:cs="Times New Roman"/>
          <w:color w:val="auto"/>
          <w:sz w:val="24"/>
          <w:szCs w:val="24"/>
          <w:highlight w:val="none"/>
          <w:lang w:eastAsia="zh-CN"/>
        </w:rPr>
        <w:t xml:space="preserve">mm </w:t>
      </w:r>
      <w:r/>
    </w:p>
    <w:p>
      <w:pPr>
        <w:pStyle w:val="825"/>
        <w:numPr>
          <w:ilvl w:val="0"/>
          <w:numId w:val="9"/>
        </w:numPr>
        <w:keepLines w:val="0"/>
        <w:keepNext w:val="0"/>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弯曲角度：上≥210°，下≥90°，左≥100°，右≥100°</w:t>
      </w:r>
      <w:r/>
    </w:p>
    <w:p>
      <w:pPr>
        <w:pStyle w:val="825"/>
        <w:numPr>
          <w:ilvl w:val="0"/>
          <w:numId w:val="9"/>
        </w:numPr>
        <w:keepLines w:val="0"/>
        <w:keepNext w:val="0"/>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有效长度：≥1030mm</w:t>
      </w:r>
      <w:r/>
    </w:p>
    <w:p>
      <w:pPr>
        <w:pStyle w:val="825"/>
        <w:numPr>
          <w:ilvl w:val="0"/>
          <w:numId w:val="9"/>
        </w:numPr>
        <w:keepLines w:val="0"/>
        <w:keepNext w:val="0"/>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钳子管道内径：≥3.2mm</w:t>
      </w:r>
      <w:r/>
    </w:p>
    <w:p>
      <w:pPr>
        <w:pStyle w:val="825"/>
        <w:numPr>
          <w:ilvl w:val="0"/>
          <w:numId w:val="0"/>
        </w:numPr>
        <w:ind w:left="400"/>
        <w:keepLines w:val="0"/>
        <w:keepNext w:val="0"/>
        <w:pageBreakBefore w:val="0"/>
        <w:spacing w:line="36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高清电子肠镜（诊断镜）：</w:t>
      </w:r>
      <w:r/>
    </w:p>
    <w:p>
      <w:pPr>
        <w:pStyle w:val="825"/>
        <w:numPr>
          <w:ilvl w:val="0"/>
          <w:numId w:val="10"/>
        </w:numPr>
        <w:keepLines w:val="0"/>
        <w:keepNext w:val="0"/>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常规视野角：≥170° </w:t>
      </w:r>
      <w:r/>
    </w:p>
    <w:p>
      <w:pPr>
        <w:pStyle w:val="825"/>
        <w:numPr>
          <w:ilvl w:val="0"/>
          <w:numId w:val="10"/>
        </w:numPr>
        <w:keepLines w:val="0"/>
        <w:keepNext w:val="0"/>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先端部外径：</w:t>
      </w:r>
      <w:r>
        <w:rPr>
          <w:rFonts w:hint="eastAsia" w:ascii="宋体" w:hAnsi="宋体" w:eastAsia="宋体" w:cs="Times New Roman"/>
          <w:color w:val="auto"/>
          <w:highlight w:val="none"/>
          <w:lang w:eastAsia="zh-CN"/>
        </w:rPr>
        <w:t xml:space="preserve">≤12.2</w:t>
      </w:r>
      <w:r>
        <w:rPr>
          <w:rFonts w:hint="eastAsia" w:ascii="宋体" w:hAnsi="宋体" w:eastAsia="宋体" w:cs="Times New Roman"/>
          <w:color w:val="auto"/>
          <w:sz w:val="24"/>
          <w:szCs w:val="24"/>
          <w:highlight w:val="none"/>
          <w:lang w:eastAsia="zh-CN"/>
        </w:rPr>
        <w:t xml:space="preserve">mm</w:t>
      </w:r>
      <w:r/>
    </w:p>
    <w:p>
      <w:pPr>
        <w:pStyle w:val="825"/>
        <w:numPr>
          <w:ilvl w:val="0"/>
          <w:numId w:val="10"/>
        </w:numPr>
        <w:keepLines w:val="0"/>
        <w:keepNext w:val="0"/>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插入部外径：</w:t>
      </w:r>
      <w:r>
        <w:rPr>
          <w:rFonts w:hint="eastAsia" w:ascii="宋体" w:hAnsi="宋体" w:eastAsia="宋体" w:cs="Times New Roman"/>
          <w:color w:val="auto"/>
          <w:highlight w:val="none"/>
          <w:lang w:eastAsia="zh-CN"/>
        </w:rPr>
        <w:t xml:space="preserve">≤12</w:t>
      </w:r>
      <w:r>
        <w:rPr>
          <w:rFonts w:hint="eastAsia" w:ascii="宋体" w:hAnsi="宋体" w:eastAsia="宋体" w:cs="Times New Roman"/>
          <w:color w:val="auto"/>
          <w:sz w:val="24"/>
          <w:szCs w:val="24"/>
          <w:highlight w:val="none"/>
          <w:lang w:eastAsia="zh-CN"/>
        </w:rPr>
        <w:t xml:space="preserve">mm</w:t>
      </w:r>
      <w:r/>
    </w:p>
    <w:p>
      <w:pPr>
        <w:pStyle w:val="825"/>
        <w:numPr>
          <w:ilvl w:val="0"/>
          <w:numId w:val="10"/>
        </w:numPr>
        <w:keepLines w:val="0"/>
        <w:keepNext w:val="0"/>
        <w:pageBreakBefore w:val="0"/>
        <w:spacing w:line="36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弯曲角度：上≥180°，下≥180°，左≥160°，右≥160°  </w:t>
      </w:r>
      <w:r/>
    </w:p>
    <w:p>
      <w:pPr>
        <w:pStyle w:val="825"/>
        <w:numPr>
          <w:ilvl w:val="0"/>
          <w:numId w:val="10"/>
        </w:numPr>
        <w:keepLines w:val="0"/>
        <w:keepNext w:val="0"/>
        <w:pageBreakBefore w:val="0"/>
        <w:spacing w:line="360" w:lineRule="auto"/>
        <w:rPr>
          <w:rFonts w:hint="eastAsia" w:ascii="宋体" w:hAnsi="宋体"/>
          <w:b w:val="0"/>
          <w:bCs w:val="0"/>
          <w:color w:val="auto"/>
          <w:sz w:val="24"/>
          <w:szCs w:val="24"/>
          <w:highlight w:val="none"/>
          <w:u w:val="single"/>
        </w:rPr>
      </w:pPr>
      <w:r>
        <w:rPr>
          <w:rFonts w:hint="eastAsia" w:ascii="宋体" w:hAnsi="宋体" w:eastAsia="宋体" w:cs="Times New Roman"/>
          <w:b w:val="0"/>
          <w:bCs w:val="0"/>
          <w:color w:val="auto"/>
          <w:sz w:val="24"/>
          <w:szCs w:val="24"/>
          <w:highlight w:val="none"/>
          <w:lang w:eastAsia="zh-CN"/>
        </w:rPr>
        <w:t xml:space="preserve">有效长度：≥1330mm</w:t>
      </w:r>
      <w:r/>
    </w:p>
    <w:p>
      <w:pPr>
        <w:pStyle w:val="825"/>
        <w:numPr>
          <w:ilvl w:val="0"/>
          <w:numId w:val="10"/>
        </w:numPr>
        <w:ind w:left="0" w:firstLine="400"/>
        <w:keepLines w:val="0"/>
        <w:keepNext w:val="0"/>
        <w:pageBreakBefore w:val="0"/>
        <w:spacing w:line="360" w:lineRule="auto"/>
        <w:rPr>
          <w:rFonts w:hint="eastAsia" w:ascii="宋体" w:hAnsi="宋体"/>
          <w:b/>
          <w:bCs/>
          <w:color w:val="auto"/>
          <w:sz w:val="24"/>
          <w:szCs w:val="24"/>
          <w:highlight w:val="none"/>
          <w:u w:val="single"/>
        </w:rPr>
      </w:pPr>
      <w:r>
        <w:rPr>
          <w:rFonts w:hint="eastAsia" w:ascii="宋体" w:hAnsi="宋体" w:eastAsia="宋体" w:cs="Times New Roman"/>
          <w:color w:val="auto"/>
          <w:sz w:val="24"/>
          <w:szCs w:val="24"/>
          <w:lang w:eastAsia="zh-CN"/>
        </w:rPr>
        <w:t xml:space="preserve">钳子管道内径：≥3.2mm</w:t>
      </w:r>
      <w:r/>
    </w:p>
    <w:p>
      <w:pPr>
        <w:keepLines w:val="0"/>
        <w:keepNext w:val="0"/>
        <w:pageBreakBefore w:val="0"/>
        <w:spacing w:line="360" w:lineRule="auto"/>
        <w:widowControl w:val="off"/>
        <w:rPr>
          <w:rFonts w:hint="eastAsia" w:ascii="宋体" w:hAnsi="宋体"/>
          <w:b/>
          <w:bCs/>
          <w:color w:val="000000" w:themeColor="text1"/>
          <w:sz w:val="24"/>
          <w:szCs w:val="24"/>
          <w:highlight w:val="none"/>
          <w:u w:val="single"/>
          <w14:textFill>
            <w14:solidFill>
              <w14:schemeClr w14:val="tx1"/>
            </w14:solidFill>
          </w14:textFill>
        </w:rPr>
      </w:pPr>
      <w:r>
        <w:rPr>
          <w:rFonts w:hint="eastAsia" w:ascii="宋体" w:hAnsi="宋体"/>
          <w:b/>
          <w:bCs/>
          <w:color w:val="000000" w:themeColor="text1"/>
          <w:sz w:val="24"/>
          <w:szCs w:val="24"/>
          <w:highlight w:val="none"/>
          <w:u w:val="single"/>
          <w:lang w:val="en-US" w:eastAsia="zh-CN"/>
          <w14:textFill>
            <w14:solidFill>
              <w14:schemeClr w14:val="tx1"/>
            </w14:solidFill>
          </w14:textFill>
        </w:rPr>
        <w:t xml:space="preserve">三、</w:t>
      </w:r>
      <w:r>
        <w:rPr>
          <w:rFonts w:hint="eastAsia" w:ascii="宋体" w:hAnsi="宋体"/>
          <w:b/>
          <w:bCs/>
          <w:color w:val="000000" w:themeColor="text1"/>
          <w:sz w:val="24"/>
          <w:szCs w:val="24"/>
          <w:highlight w:val="none"/>
          <w:u w:val="single"/>
          <w14:textFill>
            <w14:solidFill>
              <w14:schemeClr w14:val="tx1"/>
            </w14:solidFill>
          </w14:textFill>
        </w:rPr>
        <w:t xml:space="preserve">★商务需求：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1.维修保证：</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 原厂免费质保期≥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 在保质期内，故障发生后，要求供方在接报后2 小时之内响应，12小时之内到达现场排除故障；须提供故障不能排除时的解决方案；免费质保期后，设备终身维修，维修只收配件费，供方必须以低于市场价的80％优惠提供（提供承诺书，格式可自拟，须加盖投标人公章）。</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2.交货时间：合同生效之日起</w:t>
      </w:r>
      <w:r>
        <w:rPr>
          <w:rFonts w:hint="eastAsia" w:ascii="宋体" w:hAnsi="宋体" w:cs="宋体"/>
          <w:color w:val="000000" w:themeColor="text1"/>
          <w:sz w:val="24"/>
          <w:szCs w:val="24"/>
          <w:highlight w:val="none"/>
          <w:lang w:val="en-US" w:eastAsia="zh-CN"/>
          <w14:textFill>
            <w14:solidFill>
              <w14:schemeClr w14:val="tx1"/>
            </w14:solidFill>
          </w14:textFill>
        </w:rPr>
        <w:t xml:space="preserve">90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天内。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3.验收标准： </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方提供的商品必须符合我国最新颁布的与之相关的技术规范与标准，同时必须满足招标书中所列全部规格、型号、具体配置、技术条件及功能要求和供方承诺的其他指标；进口产品到货日期距仪器生产日期不超过一年，国产产品不超过半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以铭牌或说明书确认</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5.交货条件： </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产品交货时，包装完整无破损，还必须提供以下材料： </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 装箱单 </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 产品质检合格证明</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 若为进口产品，供方需要提供进口商品检验检疫证明和报关单</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 使用说明书及操作手册（电子版、纸质版同时提供）</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 单价10万元以上的设备需提供设备操作、保养的视频资料</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6.运输及到货地点：由供方负责办理运输及装卸，直接送至需方指定地点，所有费用由供方承担。 </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7.安装、调试及售后服务：供方负责本次采购设备的免费安装、调试</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安装、调试过程所需耗品应由供方免费提供</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，保证培训人员正常操作该设备的各种功能。供方提供设备操作规范张贴设备上，提供设备操作规范电子档交于医院。</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8.付款方式：</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合同签订后预付合同金额30%，货到现场安装、调试、培训、验收合格后付款60%，验收合格1年后支付10%余款。（如果制造商为中小企业，按《保障中小企业款项支付条例》(国令第 802号)相关要求执行。）</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设备随机耗材（试剂）要求：投标供应商应列明能确保设备正常使用的，所需耗材（试剂）、易耗品及维修配件的清单及价格（《耗材易耗品及维修配件明细表》给定格式）；未列其中的，视为维保范围内包含的免费材料。</w:t>
      </w:r>
      <w:r/>
    </w:p>
    <w:p>
      <w:pPr>
        <w:ind w:firstLine="480"/>
        <w:spacing w:line="360" w:lineRule="auto"/>
        <w:tabs>
          <w:tab w:val="left" w:pos="525" w:leader="none"/>
          <w:tab w:val="left" w:pos="630" w:leader="none"/>
          <w:tab w:val="left" w:pos="735" w:leader="none"/>
          <w:tab w:val="left" w:pos="945" w:leader="none"/>
        </w:tabs>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10.具备数字化接口的设备应承诺免费开放该接口，由供应商配合与医院信息系统相连接并承担相应费用(提供承诺书，格式自拟，须加盖投标人公章)。</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11.具有汉字字库、中文支持的系统及中文文档的设备应免费提供该系统，暂不具备的应承诺如日后具备此系统后免费向用户提供（提供承诺书，格式可自拟，须加盖投标人公章）。</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12.设备使用年限内（本次所投产品的年限为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主机≥6年，镜子≥6年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诺保证配件、耗材的供应；若因设备升级等原因导致配件、耗材价格提高，或已无法正常供应配件、耗材时，医院有权要求生产厂家按折旧后的价格将设备回购。（《关于所投设备的配件、耗材供应情况的承诺函》参考格式） </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13.供应商承担设备与医院设备实时监控系统相连的相关费用，达到医院实时监控要求（提供承诺书，格式可自拟，须加盖投标人公章）。</w:t>
      </w:r>
      <w:r/>
    </w:p>
    <w:p>
      <w:pPr>
        <w:ind w:firstLine="600"/>
        <w:jc w:val="left"/>
        <w:spacing w:line="360" w:lineRule="auto"/>
        <w:rPr>
          <w:rFonts w:ascii="宋体"/>
          <w:bCs/>
          <w:color w:val="000000" w:themeColor="text1"/>
          <w:sz w:val="24"/>
          <w:szCs w:val="24"/>
          <w:highlight w:val="none"/>
          <w14:textFill>
            <w14:solidFill>
              <w14:schemeClr w14:val="tx1"/>
            </w14:solidFill>
          </w14:textFill>
        </w:rPr>
      </w:pPr>
      <w:r>
        <w:rPr>
          <w:rFonts w:hint="eastAsia" w:ascii="黑体" w:hAnsi="黑体" w:eastAsia="黑体"/>
          <w:color w:val="000000" w:themeColor="text1"/>
          <w:sz w:val="30"/>
          <w:szCs w:val="30"/>
          <w:highlight w:val="none"/>
          <w14:textFill>
            <w14:solidFill>
              <w14:schemeClr w14:val="tx1"/>
            </w14:solidFill>
          </w14:textFill>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投标总报价包括满足本项目要求的所有产品及其配件、包装、运杂、安装调试及售后服务等从项目中标起到项目正式交付以及质保期内所发生的一切费用。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投标人必须在满足招标文件要求的基础上进行报价，如有技术偏离请于投标偏离表中说明。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8.本章中标注“★”的条款为本项目的实质性条款，投标人不满足的，将按照无效投标处理。</w:t>
      </w:r>
      <w:r/>
    </w:p>
    <w:p>
      <w:pPr>
        <w:ind w:firstLine="6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rPr>
          <w:rFonts w:hint="eastAsia" w:ascii="黑体" w:hAnsi="黑体" w:eastAsia="黑体"/>
          <w:color w:val="000000" w:themeColor="text1"/>
          <w:sz w:val="30"/>
          <w:szCs w:val="30"/>
          <w:highlight w:val="none"/>
          <w14:textFill>
            <w14:solidFill>
              <w14:schemeClr w14:val="tx1"/>
            </w14:solidFill>
          </w14:textFill>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bookmarkStart w:id="191" w:name="_Toc120614281"/>
      <w:r>
        <w:rPr>
          <w:rFonts w:ascii="宋体" w:hAnsi="宋体"/>
          <w:bCs/>
          <w:color w:val="000000" w:themeColor="text1"/>
          <w:sz w:val="24"/>
          <w:highlight w:val="none"/>
          <w14:textFill>
            <w14:solidFill>
              <w14:schemeClr w14:val="tx1"/>
            </w14:solidFill>
          </w14:textFill>
        </w:rPr>
        <w:t xml:space="preserve">一、</w:t>
      </w:r>
      <w:r>
        <w:rPr>
          <w:rFonts w:hint="eastAsia" w:ascii="宋体" w:hAnsi="宋体"/>
          <w:bCs/>
          <w:color w:val="000000" w:themeColor="text1"/>
          <w:sz w:val="24"/>
          <w:highlight w:val="non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w:t>
      </w:r>
      <w:r>
        <w:rPr>
          <w:rFonts w:hint="eastAsia" w:ascii="宋体" w:hAnsi="宋体"/>
          <w:bCs/>
          <w:color w:val="000000" w:themeColor="text1"/>
          <w:sz w:val="24"/>
          <w:highlight w:val="none"/>
          <w:lang w:eastAsia="zh-CN"/>
          <w14:textFill>
            <w14:solidFill>
              <w14:schemeClr w14:val="tx1"/>
            </w14:solidFill>
          </w14:textFill>
        </w:rPr>
        <w:t xml:space="preserve">〔2014〕68号</w:t>
      </w:r>
      <w:r>
        <w:rPr>
          <w:rFonts w:hint="eastAsia" w:ascii="宋体" w:hAnsi="宋体"/>
          <w:bCs/>
          <w:color w:val="000000" w:themeColor="text1"/>
          <w:sz w:val="24"/>
          <w:highlight w:val="none"/>
          <w14:textFill>
            <w14:solidFill>
              <w14:schemeClr w14:val="tx1"/>
            </w14:solidFill>
          </w14:textFill>
        </w:rPr>
        <w:t xml:space="preserve">）的规定提供由省级以上监狱管理局、戒毒管理局（含新疆生产建设兵团）出具的属于监狱企业的证明文件扫描件。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五、中标、成交供应商可采用合同融资形式，中标人可凭政府采购合同办理融资贷款。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六、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中标、成交供应商可以采用电子履约保函形式，具体操作可登录江苏政府采购网的保险保函模块进行办理。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七、本项目中如有涉及数据库、操作系</w:t>
      </w:r>
      <w:r>
        <w:rPr>
          <w:rFonts w:hint="eastAsia" w:ascii="宋体" w:hAnsi="宋体"/>
          <w:bCs/>
          <w:color w:val="000000" w:themeColor="text1"/>
          <w:sz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rPr>
          <w:rFonts w:hint="eastAsia" w:ascii="黑体" w:hAnsi="黑体" w:eastAsia="黑体"/>
          <w:bCs/>
          <w:color w:val="000000" w:themeColor="text1"/>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14:textFill>
            <w14:solidFill>
              <w14:schemeClr w14:val="tx1"/>
            </w14:solidFill>
          </w14:textFill>
        </w:rPr>
      </w:pPr>
      <w:r>
        <w:rPr>
          <w:rFonts w:hint="eastAsia" w:ascii="黑体" w:hAnsi="黑体" w:eastAsia="黑体"/>
          <w:sz w:val="36"/>
          <w:szCs w:val="36"/>
          <w:highlight w:val="none"/>
          <w14:textFill>
            <w14:solidFill>
              <w14:schemeClr w14:val="tx1"/>
            </w14:solidFill>
          </w14:textFill>
        </w:rPr>
      </w:r>
      <w:r>
        <w:rPr>
          <w:rFonts w:hint="eastAsia" w:ascii="黑体" w:hAnsi="黑体" w:eastAsia="黑体"/>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14:textFill>
            <w14:solidFill>
              <w14:schemeClr w14:val="tx1"/>
            </w14:solidFill>
          </w14:textFill>
        </w:rPr>
      </w:pPr>
      <w:r>
        <w:rPr>
          <w:rFonts w:hint="eastAsia" w:ascii="黑体" w:hAnsi="黑体" w:eastAsia="黑体"/>
          <w:sz w:val="36"/>
          <w:szCs w:val="36"/>
          <w:highlight w:val="none"/>
          <w14:textFill>
            <w14:solidFill>
              <w14:schemeClr w14:val="tx1"/>
            </w14:solidFill>
          </w14:textFill>
        </w:rPr>
      </w:r>
      <w:r>
        <w:rPr>
          <w:rFonts w:hint="eastAsia" w:ascii="黑体" w:hAnsi="黑体" w:eastAsia="黑体"/>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14:textFill>
            <w14:solidFill>
              <w14:schemeClr w14:val="tx1"/>
            </w14:solidFill>
          </w14:textFill>
        </w:rPr>
      </w:pPr>
      <w:r>
        <w:rPr>
          <w:rFonts w:hint="eastAsia" w:ascii="黑体" w:hAnsi="黑体" w:eastAsia="黑体"/>
          <w:sz w:val="36"/>
          <w:szCs w:val="36"/>
          <w:highlight w:val="none"/>
          <w14:textFill>
            <w14:solidFill>
              <w14:schemeClr w14:val="tx1"/>
            </w14:solidFill>
          </w14:textFill>
        </w:rPr>
      </w:r>
      <w:r>
        <w:rPr>
          <w:rFonts w:hint="eastAsia" w:ascii="黑体" w:hAnsi="黑体" w:eastAsia="黑体"/>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14:textFill>
            <w14:solidFill>
              <w14:schemeClr w14:val="tx1"/>
            </w14:solidFill>
          </w14:textFill>
        </w:rPr>
      </w:pPr>
      <w:r>
        <w:rPr>
          <w:rFonts w:hint="eastAsia" w:ascii="黑体" w:hAnsi="黑体" w:eastAsia="黑体"/>
          <w:sz w:val="36"/>
          <w:szCs w:val="36"/>
          <w:highlight w:val="none"/>
          <w14:textFill>
            <w14:solidFill>
              <w14:schemeClr w14:val="tx1"/>
            </w14:solidFill>
          </w14:textFill>
        </w:rPr>
      </w:r>
      <w:r>
        <w:rPr>
          <w:rFonts w:hint="eastAsia" w:ascii="黑体" w:hAnsi="黑体" w:eastAsia="黑体"/>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14:textFill>
            <w14:solidFill>
              <w14:schemeClr w14:val="tx1"/>
            </w14:solidFill>
          </w14:textFill>
        </w:rPr>
      </w:pPr>
      <w:r>
        <w:rPr>
          <w:rFonts w:hint="eastAsia" w:ascii="黑体" w:hAnsi="黑体" w:eastAsia="黑体"/>
          <w:sz w:val="36"/>
          <w:szCs w:val="36"/>
          <w:highlight w:val="none"/>
          <w14:textFill>
            <w14:solidFill>
              <w14:schemeClr w14:val="tx1"/>
            </w14:solidFill>
          </w14:textFill>
        </w:rPr>
      </w:r>
      <w:r>
        <w:rPr>
          <w:rFonts w:hint="eastAsia" w:ascii="黑体" w:hAnsi="黑体" w:eastAsia="黑体"/>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14:textFill>
            <w14:solidFill>
              <w14:schemeClr w14:val="tx1"/>
            </w14:solidFill>
          </w14:textFill>
        </w:rPr>
      </w:pPr>
      <w:r>
        <w:rPr>
          <w:rFonts w:hint="eastAsia" w:ascii="黑体" w:hAnsi="黑体" w:eastAsia="黑体"/>
          <w:sz w:val="36"/>
          <w:szCs w:val="36"/>
          <w:highlight w:val="none"/>
          <w14:textFill>
            <w14:solidFill>
              <w14:schemeClr w14:val="tx1"/>
            </w14:solidFill>
          </w14:textFill>
        </w:rPr>
      </w:r>
      <w:r>
        <w:rPr>
          <w:rFonts w:hint="eastAsia" w:ascii="黑体" w:hAnsi="黑体" w:eastAsia="黑体"/>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14:textFill>
            <w14:solidFill>
              <w14:schemeClr w14:val="tx1"/>
            </w14:solidFill>
          </w14:textFill>
        </w:rPr>
      </w:pPr>
      <w:r>
        <w:rPr>
          <w:rFonts w:hint="eastAsia" w:ascii="黑体" w:hAnsi="黑体" w:eastAsia="黑体"/>
          <w:sz w:val="36"/>
          <w:szCs w:val="36"/>
          <w:highlight w:val="none"/>
          <w14:textFill>
            <w14:solidFill>
              <w14:schemeClr w14:val="tx1"/>
            </w14:solidFill>
          </w14:textFill>
        </w:rPr>
      </w:r>
      <w:r>
        <w:rPr>
          <w:rFonts w:hint="eastAsia" w:ascii="黑体" w:hAnsi="黑体" w:eastAsia="黑体"/>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14:textFill>
            <w14:solidFill>
              <w14:schemeClr w14:val="tx1"/>
            </w14:solidFill>
          </w14:textFill>
        </w:rPr>
      </w:pPr>
      <w:r>
        <w:rPr>
          <w:rFonts w:hint="eastAsia" w:ascii="黑体" w:hAnsi="黑体" w:eastAsia="黑体"/>
          <w:sz w:val="36"/>
          <w:szCs w:val="36"/>
          <w:highlight w:val="none"/>
          <w14:textFill>
            <w14:solidFill>
              <w14:schemeClr w14:val="tx1"/>
            </w14:solidFill>
          </w14:textFill>
        </w:rPr>
      </w:r>
      <w:r>
        <w:rPr>
          <w:rFonts w:hint="eastAsia" w:ascii="黑体" w:hAnsi="黑体" w:eastAsia="黑体"/>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14:textFill>
            <w14:solidFill>
              <w14:schemeClr w14:val="tx1"/>
            </w14:solidFill>
          </w14:textFill>
        </w:rPr>
      </w:pPr>
      <w:r>
        <w:rPr>
          <w:rFonts w:hint="eastAsia" w:ascii="黑体" w:hAnsi="黑体" w:eastAsia="黑体"/>
          <w:sz w:val="36"/>
          <w:szCs w:val="36"/>
          <w:highlight w:val="none"/>
          <w14:textFill>
            <w14:solidFill>
              <w14:schemeClr w14:val="tx1"/>
            </w14:solidFill>
          </w14:textFill>
        </w:rPr>
      </w:r>
      <w:r>
        <w:rPr>
          <w:rFonts w:hint="eastAsia" w:ascii="黑体" w:hAnsi="黑体" w:eastAsia="黑体"/>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14:textFill>
            <w14:solidFill>
              <w14:schemeClr w14:val="tx1"/>
            </w14:solidFill>
          </w14:textFill>
        </w:rPr>
      </w:pPr>
      <w:r>
        <w:rPr>
          <w:rFonts w:hint="eastAsia" w:ascii="黑体" w:hAnsi="黑体" w:eastAsia="黑体"/>
          <w:sz w:val="36"/>
          <w:szCs w:val="36"/>
          <w:highlight w:val="none"/>
          <w14:textFill>
            <w14:solidFill>
              <w14:schemeClr w14:val="tx1"/>
            </w14:solidFill>
          </w14:textFill>
        </w:rPr>
      </w:r>
      <w:r>
        <w:rPr>
          <w:rFonts w:hint="eastAsia" w:ascii="黑体" w:hAnsi="黑体" w:eastAsia="黑体"/>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14:textFill>
            <w14:solidFill>
              <w14:schemeClr w14:val="tx1"/>
            </w14:solidFill>
          </w14:textFill>
        </w:rPr>
      </w:pPr>
      <w:r>
        <w:rPr>
          <w:rFonts w:hint="eastAsia" w:ascii="黑体" w:hAnsi="黑体" w:eastAsia="黑体"/>
          <w:sz w:val="36"/>
          <w:szCs w:val="36"/>
          <w:highlight w:val="none"/>
          <w14:textFill>
            <w14:solidFill>
              <w14:schemeClr w14:val="tx1"/>
            </w14:solidFill>
          </w14:textFill>
        </w:rPr>
      </w:r>
      <w:r>
        <w:rPr>
          <w:rFonts w:hint="eastAsia" w:ascii="黑体" w:hAnsi="黑体" w:eastAsia="黑体"/>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14:textFill>
            <w14:solidFill>
              <w14:schemeClr w14:val="tx1"/>
            </w14:solidFill>
          </w14:textFill>
        </w:rPr>
      </w:pPr>
      <w:r>
        <w:rPr>
          <w:rFonts w:hint="eastAsia" w:ascii="黑体" w:hAnsi="黑体" w:eastAsia="黑体"/>
          <w:sz w:val="36"/>
          <w:szCs w:val="36"/>
          <w:highlight w:val="none"/>
          <w14:textFill>
            <w14:solidFill>
              <w14:schemeClr w14:val="tx1"/>
            </w14:solidFill>
          </w14:textFill>
        </w:rPr>
      </w:r>
      <w:r>
        <w:rPr>
          <w:rFonts w:hint="eastAsia" w:ascii="黑体" w:hAnsi="黑体" w:eastAsia="黑体"/>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14:textFill>
            <w14:solidFill>
              <w14:schemeClr w14:val="tx1"/>
            </w14:solidFill>
          </w14:textFill>
        </w:rPr>
      </w:pPr>
      <w:r>
        <w:rPr>
          <w:rFonts w:hint="eastAsia" w:ascii="黑体" w:hAnsi="黑体" w:eastAsia="黑体"/>
          <w:sz w:val="36"/>
          <w:szCs w:val="36"/>
          <w:highlight w:val="none"/>
          <w14:textFill>
            <w14:solidFill>
              <w14:schemeClr w14:val="tx1"/>
            </w14:solidFill>
          </w14:textFill>
        </w:rPr>
      </w:r>
      <w:r>
        <w:rPr>
          <w:rFonts w:hint="eastAsia" w:ascii="黑体" w:hAnsi="黑体" w:eastAsia="黑体"/>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14:textFill>
            <w14:solidFill>
              <w14:schemeClr w14:val="tx1"/>
            </w14:solidFill>
          </w14:textFill>
        </w:rPr>
      </w:pPr>
      <w:r>
        <w:rPr>
          <w:rFonts w:hint="eastAsia" w:ascii="黑体" w:hAnsi="黑体" w:eastAsia="黑体"/>
          <w:sz w:val="36"/>
          <w:szCs w:val="36"/>
          <w:highlight w:val="none"/>
          <w14:textFill>
            <w14:solidFill>
              <w14:schemeClr w14:val="tx1"/>
            </w14:solidFill>
          </w14:textFill>
        </w:rPr>
      </w:r>
      <w:r>
        <w:rPr>
          <w:rFonts w:hint="eastAsia" w:ascii="黑体" w:hAnsi="黑体" w:eastAsia="黑体"/>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14:textFill>
            <w14:solidFill>
              <w14:schemeClr w14:val="tx1"/>
            </w14:solidFill>
          </w14:textFill>
        </w:rPr>
      </w:pPr>
      <w:r>
        <w:rPr>
          <w:rFonts w:hint="eastAsia" w:ascii="黑体" w:hAnsi="黑体" w:eastAsia="黑体"/>
          <w:sz w:val="36"/>
          <w:szCs w:val="36"/>
          <w:highlight w:val="none"/>
          <w14:textFill>
            <w14:solidFill>
              <w14:schemeClr w14:val="tx1"/>
            </w14:solidFill>
          </w14:textFill>
        </w:rPr>
      </w:r>
      <w:r>
        <w:rPr>
          <w:rFonts w:hint="eastAsia" w:ascii="黑体" w:hAnsi="黑体" w:eastAsia="黑体"/>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14:textFill>
            <w14:solidFill>
              <w14:schemeClr w14:val="tx1"/>
            </w14:solidFill>
          </w14:textFill>
        </w:rPr>
      </w:pPr>
      <w:r>
        <w:rPr>
          <w:rFonts w:hint="eastAsia" w:ascii="黑体" w:hAnsi="黑体" w:eastAsia="黑体"/>
          <w:sz w:val="36"/>
          <w:szCs w:val="36"/>
          <w:highlight w:val="none"/>
          <w14:textFill>
            <w14:solidFill>
              <w14:schemeClr w14:val="tx1"/>
            </w14:solidFill>
          </w14:textFill>
        </w:rPr>
      </w:r>
      <w:r>
        <w:rPr>
          <w:rFonts w:hint="eastAsia" w:ascii="黑体" w:hAnsi="黑体" w:eastAsia="黑体"/>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14:textFill>
            <w14:solidFill>
              <w14:schemeClr w14:val="tx1"/>
            </w14:solidFill>
          </w14:textFill>
        </w:rPr>
      </w:pPr>
      <w:r>
        <w:rPr>
          <w:rFonts w:hint="eastAsia" w:ascii="黑体" w:hAnsi="黑体" w:eastAsia="黑体"/>
          <w:sz w:val="36"/>
          <w:szCs w:val="36"/>
          <w:highlight w:val="none"/>
          <w14:textFill>
            <w14:solidFill>
              <w14:schemeClr w14:val="tx1"/>
            </w14:solidFill>
          </w14:textFill>
        </w:rPr>
      </w:r>
      <w:r>
        <w:rPr>
          <w:rFonts w:hint="eastAsia" w:ascii="黑体" w:hAnsi="黑体" w:eastAsia="黑体"/>
          <w:sz w:val="36"/>
          <w:szCs w:val="36"/>
          <w:highlight w:val="none"/>
          <w14:textFill>
            <w14:solidFill>
              <w14:schemeClr w14:val="tx1"/>
            </w14:solidFill>
          </w14:textFill>
        </w:rPr>
      </w:r>
      <w:r/>
    </w:p>
    <w:p>
      <w:pPr>
        <w:ind w:firstLine="0"/>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14:textFill>
            <w14:solidFill>
              <w14:schemeClr w14:val="tx1"/>
            </w14:solidFill>
          </w14:textFill>
        </w:rPr>
      </w:pPr>
      <w:r>
        <w:rPr>
          <w:rFonts w:hint="eastAsia" w:ascii="黑体" w:hAnsi="黑体" w:eastAsia="黑体"/>
          <w:sz w:val="36"/>
          <w:szCs w:val="36"/>
          <w:highlight w:val="none"/>
          <w14:textFill>
            <w14:solidFill>
              <w14:schemeClr w14:val="tx1"/>
            </w14:solidFill>
          </w14:textFill>
        </w:rPr>
      </w:r>
      <w:r>
        <w:rPr>
          <w:rFonts w:hint="eastAsia" w:ascii="黑体" w:hAnsi="黑体" w:eastAsia="黑体"/>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t xml:space="preserve">第五章  </w:t>
      </w:r>
      <w:r>
        <w:rPr>
          <w:rFonts w:hint="eastAsia" w:ascii="黑体" w:hAnsi="黑体" w:eastAsia="黑体"/>
          <w:b/>
          <w:bCs/>
          <w:color w:val="000000" w:themeColor="text1"/>
          <w:sz w:val="36"/>
          <w:szCs w:val="36"/>
          <w:highlight w:val="none"/>
          <w14:textFill>
            <w14:solidFill>
              <w14:schemeClr w14:val="tx1"/>
            </w14:solidFill>
          </w14:textFill>
        </w:rPr>
        <w:t xml:space="preserve">评标方法与评标标准</w:t>
      </w:r>
      <w:r/>
    </w:p>
    <w:p>
      <w:pPr>
        <w:pStyle w:val="1001"/>
        <w:ind w:firstLine="602"/>
        <w:spacing w:before="0" w:after="0" w:line="500" w:lineRule="exact"/>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1001"/>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1001"/>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1001"/>
        <w:spacing w:before="0" w:after="0" w:line="500" w:lineRule="exact"/>
        <w:rPr>
          <w:rStyle w:val="786"/>
          <w:rFonts w:ascii="Times New Roman" w:hAnsi="Times New Roman"/>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01"/>
        <w:spacing w:before="0" w:after="0" w:line="500" w:lineRule="exact"/>
        <w:rPr>
          <w:rFonts w:cs="Arial"/>
          <w:color w:val="000000" w:themeColor="text1"/>
          <w:highlight w:val="none"/>
          <w:shd w:val="clear" w:color="ffffff" w:fill="d9d9d9"/>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01"/>
        <w:spacing w:before="0" w:after="0" w:line="500" w:lineRule="exact"/>
        <w:rPr>
          <w:rFonts w:cs="Arial"/>
          <w:b/>
          <w:color w:val="000000" w:themeColor="text1"/>
          <w:sz w:val="30"/>
          <w:szCs w:val="30"/>
          <w:highlight w:val="none"/>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  评标标准</w:t>
      </w:r>
      <w:r/>
    </w:p>
    <w:p>
      <w:pPr>
        <w:pStyle w:val="1001"/>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themeColor="text1"/>
          <w:sz w:val="24"/>
          <w:szCs w:val="24"/>
          <w:highlight w:val="none"/>
          <w:lang w:eastAsia="zh-CN"/>
          <w14:textFill>
            <w14:solidFill>
              <w14:schemeClr w14:val="tx1"/>
            </w14:solidFill>
          </w14:textFill>
        </w:rPr>
        <w:t xml:space="preserve">〔2014〕68号</w:t>
      </w:r>
      <w:r>
        <w:rPr>
          <w:rFonts w:hint="eastAsia" w:ascii="宋体" w:hAnsi="宋体"/>
          <w:bCs/>
          <w:color w:val="000000" w:themeColor="text1"/>
          <w:sz w:val="24"/>
          <w:szCs w:val="24"/>
          <w:highlight w:val="none"/>
          <w14:textFill>
            <w14:solidFill>
              <w14:schemeClr w14:val="tx1"/>
            </w14:solidFill>
          </w14:textFill>
        </w:rPr>
        <w:t xml:space="preserve">）的规定提供由省级以上监狱管理局、戒毒管理局（含新疆生产建设兵团）出具的属于监狱企业的证明文件扫描件。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11"/>
        </w:numPr>
        <w:spacing w:line="500" w:lineRule="exact"/>
        <w:rPr>
          <w:rFonts w:hint="eastAsia" w:ascii="宋体" w:hAnsi="宋体"/>
          <w:b/>
          <w:color w:val="000000" w:themeColor="text1"/>
          <w:sz w:val="28"/>
          <w:szCs w:val="28"/>
          <w:highlight w:val="none"/>
          <w14:textFill>
            <w14:solidFill>
              <w14:schemeClr w14:val="tx1"/>
            </w14:solidFill>
          </w14:textFill>
        </w:rPr>
      </w:pPr>
      <w:r>
        <w:rPr>
          <w:rFonts w:ascii="宋体" w:hAnsi="宋体"/>
          <w:color w:val="000000" w:themeColor="text1"/>
          <w:highlight w:val="none"/>
          <w:shd w:val="clear" w:color="ffffff" w:fill="d9d9d9"/>
          <w14:textFill>
            <w14:solidFill>
              <w14:schemeClr w14:val="tx1"/>
            </w14:solidFill>
          </w14:textFill>
        </w:rPr>
        <w:br w:type="page" w:clear="all"/>
      </w:r>
      <w:r>
        <w:rPr>
          <w:rFonts w:hint="eastAsia" w:ascii="宋体" w:hAnsi="宋体"/>
          <w:b/>
          <w:color w:val="000000" w:themeColor="text1"/>
          <w:sz w:val="28"/>
          <w:szCs w:val="28"/>
          <w:highlight w:val="none"/>
          <w14:textFill>
            <w14:solidFill>
              <w14:schemeClr w14:val="tx1"/>
            </w14:solidFill>
          </w14:textFill>
        </w:rPr>
        <w:t xml:space="preserve">评分标准</w:t>
      </w:r>
      <w:r/>
    </w:p>
    <w:p>
      <w:pPr>
        <w:ind w:firstLine="482"/>
        <w:spacing w:line="360" w:lineRule="auto"/>
        <w:tabs>
          <w:tab w:val="left" w:pos="945" w:leader="none"/>
          <w:tab w:val="left" w:pos="1155" w:leader="none"/>
          <w:tab w:val="left" w:pos="3823" w:leader="none"/>
        </w:tabs>
        <w:rPr>
          <w:rFonts w:hint="eastAsia" w:ascii="宋体" w:hAnsi="宋体"/>
          <w:b/>
          <w:color w:val="000000" w:themeColor="text1"/>
          <w:sz w:val="28"/>
          <w:szCs w:val="28"/>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第一部分：商务标部分（</w:t>
      </w:r>
      <w:r>
        <w:rPr>
          <w:rFonts w:hint="eastAsia" w:ascii="宋体" w:hAnsi="宋体"/>
          <w:b/>
          <w:color w:val="000000" w:themeColor="text1"/>
          <w:sz w:val="24"/>
          <w:szCs w:val="24"/>
          <w:highlight w:val="none"/>
          <w:lang w:val="en-US" w:eastAsia="zh-CN"/>
          <w14:textFill>
            <w14:solidFill>
              <w14:schemeClr w14:val="tx1"/>
            </w14:solidFill>
          </w14:textFill>
        </w:rPr>
        <w:t xml:space="preserve">90</w:t>
      </w:r>
      <w:r>
        <w:rPr>
          <w:rFonts w:hint="eastAsia" w:ascii="宋体" w:hAnsi="宋体"/>
          <w:b/>
          <w:color w:val="000000" w:themeColor="text1"/>
          <w:sz w:val="24"/>
          <w:szCs w:val="24"/>
          <w:highlight w:val="none"/>
          <w14:textFill>
            <w14:solidFill>
              <w14:schemeClr w14:val="tx1"/>
            </w14:solidFill>
          </w14:textFill>
        </w:rPr>
        <w:t xml:space="preserve">分）</w:t>
      </w:r>
      <w:r>
        <w:rPr>
          <w:rFonts w:hint="eastAsia" w:ascii="宋体" w:hAnsi="宋体"/>
          <w:color w:val="000000" w:themeColor="text1"/>
          <w:sz w:val="24"/>
          <w:szCs w:val="24"/>
          <w:highlight w:val="none"/>
          <w14:textFill>
            <w14:solidFill>
              <w14:schemeClr w14:val="tx1"/>
            </w14:solidFill>
          </w14:textFill>
        </w:rPr>
        <w:t xml:space="preserve">：</w:t>
      </w:r>
      <w:r/>
    </w:p>
    <w:p>
      <w:pPr>
        <w:numPr>
          <w:ilvl w:val="0"/>
          <w:numId w:val="0"/>
        </w:numPr>
        <w:ind w:firstLine="482"/>
        <w:keepLines w:val="0"/>
        <w:keepNext w:val="0"/>
        <w:pageBreakBefore w:val="0"/>
        <w:spacing w:line="440" w:lineRule="exact"/>
        <w:widowControl w:val="off"/>
        <w:rPr>
          <w:rFonts w:ascii="宋体" w:hAnsi="宋体" w:cs="宋体"/>
          <w:b/>
          <w:bCs/>
          <w:color w:val="000000" w:themeColor="text1"/>
          <w:sz w:val="24"/>
          <w:szCs w:val="24"/>
          <w:highlight w:val="none"/>
          <w14:textFill>
            <w14:solidFill>
              <w14:schemeClr w14:val="tx1"/>
            </w14:solidFill>
          </w14:textFill>
        </w:rPr>
        <w:outlineLvl w:val="0"/>
      </w:pP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宋体"/>
          <w:b/>
          <w:bCs/>
          <w:color w:val="000000" w:themeColor="text1"/>
          <w:sz w:val="24"/>
          <w:szCs w:val="24"/>
          <w:highlight w:val="none"/>
          <w14:textFill>
            <w14:solidFill>
              <w14:schemeClr w14:val="tx1"/>
            </w14:solidFill>
          </w14:textFill>
        </w:rPr>
        <w:t xml:space="preserve">价</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格（40分）</w:t>
      </w:r>
      <w:r/>
    </w:p>
    <w:p>
      <w:pPr>
        <w:ind w:firstLine="482"/>
        <w:jc w:val="both"/>
        <w:keepLines w:val="0"/>
        <w:keepNext w:val="0"/>
        <w:pageBreakBefore w:val="0"/>
        <w:spacing w:line="440" w:lineRule="exact"/>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以进入评标程序、满足招标文件要求且报价最低的投标报价为评标基准价（须未超过采购预算价）</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其价格分为满分。其他投标人的价格分统一按照下列公式计算：</w:t>
      </w:r>
      <w:r/>
    </w:p>
    <w:p>
      <w:pPr>
        <w:ind w:firstLine="482"/>
        <w:jc w:val="both"/>
        <w:keepLines w:val="0"/>
        <w:keepNext w:val="0"/>
        <w:pageBreakBefore w:val="0"/>
        <w:spacing w:line="440" w:lineRule="exact"/>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投标报价得分=（评标基准价/投标报价）×价格权重分</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保留两位小数</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p>
    <w:p>
      <w:pPr>
        <w:ind w:firstLine="482"/>
        <w:jc w:val="both"/>
        <w:keepLines w:val="0"/>
        <w:keepNext w:val="0"/>
        <w:pageBreakBefore w:val="0"/>
        <w:spacing w:line="440" w:lineRule="exact"/>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关于价格扣除详见本章第二部分“一、落实政府采购政策的价格调整”。</w:t>
      </w:r>
      <w:r/>
    </w:p>
    <w:p>
      <w:pPr>
        <w:numPr>
          <w:ilvl w:val="0"/>
          <w:numId w:val="0"/>
        </w:numPr>
        <w:ind w:firstLine="482"/>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0"/>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2.产品技术部分（</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40</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分）</w:t>
      </w:r>
      <w:r/>
    </w:p>
    <w:p>
      <w:pPr>
        <w:ind w:firstLine="482"/>
        <w:keepLines w:val="0"/>
        <w:keepNext w:val="0"/>
        <w:pageBreakBefore w:val="0"/>
        <w:spacing w:line="440" w:lineRule="exact"/>
        <w:widowControl w:val="off"/>
        <w:rPr>
          <w:rFonts w:hint="eastAsia"/>
          <w:color w:val="000000" w:themeColor="text1"/>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w:t>
      </w:r>
      <w:r>
        <w:rPr>
          <w:rFonts w:hint="eastAsia" w:ascii="宋体" w:hAnsi="宋体" w:cs="宋体"/>
          <w:color w:val="000000" w:themeColor="text1"/>
          <w:sz w:val="24"/>
          <w:szCs w:val="24"/>
          <w:highlight w:val="none"/>
          <w:lang w:val="en-US" w:eastAsia="zh-CN"/>
          <w14:textFill>
            <w14:solidFill>
              <w14:schemeClr w14:val="tx1"/>
            </w14:solidFill>
          </w14:textFill>
        </w:rPr>
        <w:t xml:space="preserve">评分参数</w:t>
      </w:r>
      <w:r>
        <w:rPr>
          <w:rFonts w:hint="eastAsia" w:ascii="宋体" w:hAnsi="宋体" w:cs="宋体"/>
          <w:color w:val="000000" w:themeColor="text1"/>
          <w:sz w:val="24"/>
          <w:szCs w:val="24"/>
          <w:highlight w:val="none"/>
          <w14:textFill>
            <w14:solidFill>
              <w14:schemeClr w14:val="tx1"/>
            </w14:solidFill>
          </w14:textFill>
        </w:rPr>
        <w:t xml:space="preserve">内容的，评审时不予认可。技术分条款须按对应评分项目（或数字编号）进行自评，注明自评分。</w:t>
      </w:r>
      <w:r/>
    </w:p>
    <w:tbl>
      <w:tblPr>
        <w:tblStyle w:val="739"/>
        <w:tblW w:w="8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6643"/>
        <w:gridCol w:w="650"/>
        <w:gridCol w:w="650"/>
      </w:tblGrid>
      <w:tr>
        <w:trPr>
          <w:jc w:val="center"/>
          <w:trHeight w:val="279"/>
        </w:trPr>
        <w:tc>
          <w:tcPr>
            <w:tcW w:w="67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6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技术评分标准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评分下限</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评分上限</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rPr>
              <w:t xml:space="preserve">主机与光源一体式设计，得3分，光源至少为5LED光源，得3分</w:t>
            </w:r>
            <w:r>
              <w:rPr>
                <w:rFonts w:hint="eastAsia" w:ascii="宋体" w:hAnsi="宋体" w:eastAsia="宋体" w:cs="宋体"/>
                <w:color w:val="auto"/>
                <w:sz w:val="24"/>
                <w:szCs w:val="24"/>
              </w:rPr>
              <w:t xml:space="preserve">，其他不得分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6</w:t>
            </w:r>
            <w:r/>
          </w:p>
        </w:tc>
      </w:tr>
      <w:tr>
        <w:trPr>
          <w:jc w:val="center"/>
          <w:trHeight w:val="90"/>
        </w:trPr>
        <w:tc>
          <w:tcPr>
            <w:tcW w:w="67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主机色调调节≥17档，得3分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达到：≥20档，得4分，其他不得分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主机提供≥4种特殊光观察功能，得3分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达到：</w:t>
            </w:r>
            <w:r>
              <w:rPr>
                <w:rFonts w:hint="eastAsia" w:ascii="宋体" w:hAnsi="宋体" w:eastAsia="宋体" w:cs="宋体"/>
                <w:color w:val="auto"/>
                <w:sz w:val="24"/>
                <w:szCs w:val="24"/>
              </w:rPr>
              <w:t xml:space="preserve">≥5种特殊光观察功能，得5分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其他不得分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5</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主机提供双红光观察，提高深层血管及出血点的可视性，得4分，其他不得分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4</w:t>
            </w:r>
            <w:r/>
          </w:p>
        </w:tc>
      </w:tr>
      <w:tr>
        <w:trPr>
          <w:jc w:val="center"/>
          <w:trHeight w:val="575"/>
        </w:trPr>
        <w:tc>
          <w:tcPr>
            <w:tcW w:w="67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主机可兼容小肠镜，得4分，其他不得分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4</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主机输出分辨率≥3840*2160，得3分，数字信号输出具备12G-SDI接口，得3分，其他不得分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主机具备一键操作可同时开启特殊光、电子放大、构造强调、亮度、色调、测光模式等6个及以上的观察功能，节约诊疗时间，得4分</w:t>
            </w:r>
            <w:r>
              <w:rPr>
                <w:rFonts w:hint="eastAsia" w:ascii="宋体" w:hAnsi="宋体" w:eastAsia="宋体" w:cs="宋体"/>
                <w:color w:val="auto"/>
                <w:sz w:val="24"/>
                <w:szCs w:val="24"/>
              </w:rPr>
              <w:t xml:space="preserve">，其他不得分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4</w:t>
            </w:r>
            <w:r/>
          </w:p>
        </w:tc>
      </w:tr>
      <w:tr>
        <w:trPr>
          <w:jc w:val="center"/>
          <w:trHeight w:val="601"/>
        </w:trPr>
        <w:tc>
          <w:tcPr>
            <w:tcW w:w="67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高清电子胃镜（诊断镜）具备光学放大多焦段功能，得4分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高清电子胃镜、高清电子肠镜均具备副送水功能，得3分，</w:t>
            </w:r>
            <w:r>
              <w:rPr>
                <w:rFonts w:hint="eastAsia" w:ascii="宋体" w:hAnsi="宋体" w:eastAsia="宋体" w:cs="宋体"/>
                <w:color w:val="auto"/>
                <w:sz w:val="24"/>
                <w:szCs w:val="24"/>
              </w:rPr>
              <w:t xml:space="preserve">其他不得分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bl>
    <w:p>
      <w:pPr>
        <w:numPr>
          <w:ilvl w:val="0"/>
          <w:numId w:val="0"/>
        </w:numPr>
        <w:ind w:left="0" w:firstLine="480"/>
        <w:spacing w:line="360" w:lineRule="auto"/>
        <w:rPr>
          <w:rFonts w:hint="default" w:ascii="宋体" w:hAnsi="宋体" w:eastAsia="宋体" w:cs="宋体"/>
          <w:b/>
          <w:color w:val="000000" w:themeColor="text1"/>
          <w:sz w:val="24"/>
          <w:szCs w:val="24"/>
          <w:highlight w:val="none"/>
          <w:lang w:val="en-US" w:eastAsia="zh-CN" w:bidi="ar-SA"/>
          <w14:textFill>
            <w14:solidFill>
              <w14:schemeClr w14:val="tx1"/>
            </w14:solidFill>
          </w14:textFill>
        </w:rPr>
        <w:outlineLvl w:val="0"/>
      </w:pPr>
      <w:r>
        <w:rPr>
          <w:rFonts w:hint="default" w:ascii="宋体" w:hAnsi="宋体" w:eastAsia="宋体" w:cs="宋体"/>
          <w:b/>
          <w:color w:val="000000" w:themeColor="text1"/>
          <w:sz w:val="24"/>
          <w:szCs w:val="24"/>
          <w:highlight w:val="none"/>
          <w:lang w:val="en-US" w:eastAsia="zh-CN" w:bidi="ar-SA"/>
          <w14:textFill>
            <w14:solidFill>
              <w14:schemeClr w14:val="tx1"/>
            </w14:solidFill>
          </w14:textFill>
        </w:rPr>
      </w:r>
      <w:r/>
    </w:p>
    <w:p>
      <w:pPr>
        <w:numPr>
          <w:ilvl w:val="0"/>
          <w:numId w:val="0"/>
        </w:numPr>
        <w:ind w:left="0" w:firstLine="480"/>
        <w:spacing w:line="360" w:lineRule="auto"/>
        <w:rPr>
          <w:rFonts w:hint="default" w:ascii="宋体" w:hAnsi="宋体" w:eastAsia="宋体" w:cs="宋体"/>
          <w:b/>
          <w:color w:val="000000" w:themeColor="text1"/>
          <w:sz w:val="24"/>
          <w:szCs w:val="24"/>
          <w:highlight w:val="none"/>
          <w:lang w:val="en-US" w:eastAsia="zh-CN" w:bidi="ar-SA"/>
          <w14:textFill>
            <w14:solidFill>
              <w14:schemeClr w14:val="tx1"/>
            </w14:solidFill>
          </w14:textFill>
        </w:rPr>
        <w:outlineLvl w:val="0"/>
      </w:pPr>
      <w:r>
        <w:rPr>
          <w:rFonts w:hint="default" w:ascii="宋体" w:hAnsi="宋体" w:eastAsia="宋体" w:cs="宋体"/>
          <w:b/>
          <w:color w:val="000000" w:themeColor="text1"/>
          <w:sz w:val="24"/>
          <w:szCs w:val="24"/>
          <w:highlight w:val="none"/>
          <w:lang w:val="en-US" w:eastAsia="zh-CN" w:bidi="ar-SA"/>
          <w14:textFill>
            <w14:solidFill>
              <w14:schemeClr w14:val="tx1"/>
            </w14:solidFill>
          </w14:textFill>
        </w:rPr>
      </w:r>
      <w:r/>
    </w:p>
    <w:p>
      <w:pPr>
        <w:numPr>
          <w:ilvl w:val="0"/>
          <w:numId w:val="0"/>
        </w:numPr>
        <w:ind w:left="0" w:firstLine="480"/>
        <w:spacing w:line="360" w:lineRule="auto"/>
        <w:rPr>
          <w:rFonts w:ascii="宋体" w:hAnsi="宋体" w:cs="宋体"/>
          <w:b/>
          <w:color w:val="000000" w:themeColor="text1"/>
          <w:sz w:val="24"/>
          <w:szCs w:val="24"/>
          <w:highlight w:val="none"/>
          <w14:textFill>
            <w14:solidFill>
              <w14:schemeClr w14:val="tx1"/>
            </w14:solidFill>
          </w14:textFill>
        </w:rPr>
        <w:outlineLvl w:val="0"/>
      </w:pPr>
      <w:r>
        <w:rPr>
          <w:rFonts w:hint="default" w:ascii="宋体" w:hAnsi="宋体" w:eastAsia="宋体" w:cs="宋体"/>
          <w:b/>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cs="宋体"/>
          <w:b/>
          <w:color w:val="000000" w:themeColor="text1"/>
          <w:sz w:val="24"/>
          <w:szCs w:val="24"/>
          <w:highlight w:val="none"/>
          <w14:textFill>
            <w14:solidFill>
              <w14:schemeClr w14:val="tx1"/>
            </w14:solidFill>
          </w14:textFill>
        </w:rPr>
        <w:t xml:space="preserve">商务（</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b/>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cs="宋体"/>
          <w:color w:val="000000" w:themeColor="text1"/>
          <w:sz w:val="24"/>
          <w:szCs w:val="24"/>
          <w:highlight w:val="yellow"/>
          <w:lang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3.1质保期（3分）：原厂免费质保3年为基准，每增加一年得1分，最多不超过3分。提供生产厂家出具的《质量保证及售后服务承诺书》（给定格式），扫描件并加盖投标人电子公章，</w:t>
      </w:r>
      <w:r>
        <w:rPr>
          <w:rFonts w:ascii="宋体" w:hAnsi="宋体" w:cs="宋体"/>
          <w:color w:val="000000" w:themeColor="text1"/>
          <w:sz w:val="24"/>
          <w:szCs w:val="24"/>
          <w:highlight w:val="none"/>
          <w14:textFill>
            <w14:solidFill>
              <w14:schemeClr w14:val="tx1"/>
            </w14:solidFill>
          </w14:textFill>
        </w:rPr>
        <w:t xml:space="preserve">所投若为进口设备，则由国内总代理出具</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3.2备用机（2分）：若设备出现故障，24小时内无法解决的，承诺提供备用机得2分，不提供不得分。（提供备用机承诺书，格式自拟，并加盖投标人电子公章）。</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3.3销售业绩及客户评价比较（3分）：从2023年1月以来主要业绩，提供投标人与终端用户签订的与本次招标采购项目类似产品的完整销售合同复印件，有一例得1.5分，最高不超过3 分</w:t>
      </w:r>
      <w:r>
        <w:rPr>
          <w:rFonts w:hint="eastAsia" w:ascii="宋体" w:hAnsi="宋体"/>
          <w:bCs/>
          <w:color w:val="000000" w:themeColor="text1"/>
          <w:sz w:val="24"/>
          <w:szCs w:val="24"/>
          <w:highlight w:val="none"/>
          <w14:textFill>
            <w14:solidFill>
              <w14:schemeClr w14:val="tx1"/>
            </w14:solidFill>
          </w14:textFill>
        </w:rPr>
        <w:t xml:space="preserve">（提供合同复印件并加盖投标人电子公章）。</w:t>
      </w:r>
      <w:r>
        <w:rPr>
          <w:rFonts w:hint="eastAsia" w:ascii="宋体" w:hAnsi="宋体" w:cs="宋体"/>
          <w:color w:val="000000"/>
          <w:sz w:val="24"/>
          <w:szCs w:val="24"/>
          <w:highlight w:val="none"/>
        </w:rPr>
        <w:t xml:space="preserve">合同金额如在50万元以上（含50万元），还须提供</w:t>
      </w:r>
      <w:r>
        <w:rPr>
          <w:rFonts w:hint="eastAsia" w:ascii="宋体" w:hAnsi="宋体" w:cs="宋体"/>
          <w:color w:val="000000"/>
          <w:sz w:val="24"/>
          <w:szCs w:val="24"/>
          <w:highlight w:val="white"/>
          <w:lang w:val="en-US" w:eastAsia="zh-CN"/>
        </w:rPr>
        <w:t xml:space="preserve">中标（成交）页面或</w:t>
      </w:r>
      <w:r>
        <w:rPr>
          <w:rFonts w:hint="eastAsia" w:ascii="宋体" w:hAnsi="宋体" w:cs="宋体"/>
          <w:color w:val="000000"/>
          <w:sz w:val="24"/>
          <w:szCs w:val="24"/>
          <w:highlight w:val="none"/>
        </w:rPr>
        <w:t xml:space="preserve">合同公示页面截图进行佐证。截图内容含公示网站名称或地址、公示日期、完整公示内容。</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3.4政策性因素（2分）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3.4.1 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3.4.2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20"/>
        <w:spacing w:line="360" w:lineRule="auto"/>
        <w:rPr>
          <w:rFonts w:eastAsiaTheme="minorEastAsia"/>
          <w:color w:val="000000" w:themeColor="text1"/>
          <w:highlight w:val="none"/>
          <w14:textFill>
            <w14:solidFill>
              <w14:schemeClr w14:val="tx1"/>
            </w14:solidFill>
          </w14:textFill>
        </w:rPr>
      </w:pPr>
      <w:r>
        <w:rPr>
          <w:rFonts w:eastAsiaTheme="minorEastAsia"/>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第二部分：技术标部分（</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b/>
          <w:color w:val="000000" w:themeColor="text1"/>
          <w:sz w:val="24"/>
          <w:szCs w:val="24"/>
          <w:highlight w:val="none"/>
          <w14:textFill>
            <w14:solidFill>
              <w14:schemeClr w14:val="tx1"/>
            </w14:solidFill>
          </w14:textFill>
        </w:rPr>
        <w:t xml:space="preserve">分）（不得有体现投标人身份的内容）</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1.服务方案体系（6分） ：投标人保障采购项目能够达到招标文件设定的使用和运行状态而提供的①配送、安装，②调试、培训，③响应时间，④咨询（技术支持）， ⑤维修以及⑥应急保障措施等一系列服务方案。</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单项不存在瑕疵、漏项，有针对性解决说明，满足项目招标文件需求，得1分；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单项存在瑕疵、漏项或未提供、不满足项目招标文件需求，得0分；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共6项，最高得6分。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2.服务保障体系（4分）：投标人保障服务方案的实施而设立的①服务机构、配备的相应服务人员、设施装备，以及相应的服务细则和规范的管理制度，②确保兑现服务承诺、保证服务质量的措施。</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单项不存在瑕疵、漏项，有针对性解决说明，满足项目招标文件需求，得2分；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单项存在1处瑕疵、漏项，得1分；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单项存在2处及以上瑕疵、漏项或未提供、不满足项目招标文件需求，得0分；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共2项，最高得4分。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pStyle w:val="748"/>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48"/>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48"/>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48"/>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48"/>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48"/>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48"/>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48"/>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48"/>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48"/>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48"/>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48"/>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48"/>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48"/>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48"/>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48"/>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48"/>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48"/>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48"/>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48"/>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jc w:val="center"/>
        <w:spacing w:line="500" w:lineRule="exact"/>
        <w:rPr>
          <w:rFonts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第六章  </w:t>
      </w:r>
      <w:bookmarkEnd w:id="188"/>
      <w:r/>
      <w:bookmarkEnd w:id="189"/>
      <w:r/>
      <w:bookmarkEnd w:id="191"/>
      <w:r>
        <w:rPr>
          <w:rFonts w:hint="eastAsia" w:ascii="黑体" w:eastAsia="黑体"/>
          <w:bCs/>
          <w:color w:val="000000" w:themeColor="text1"/>
          <w:sz w:val="36"/>
          <w:szCs w:val="36"/>
          <w:highlight w:val="none"/>
          <w14:textFill>
            <w14:solidFill>
              <w14:schemeClr w14:val="tx1"/>
            </w14:solidFill>
          </w14:textFill>
        </w:rPr>
        <w:t xml:space="preserve">投标文件内容与格式</w:t>
      </w:r>
      <w:r/>
    </w:p>
    <w:p>
      <w:pPr>
        <w:pStyle w:val="1001"/>
        <w:ind w:firstLine="602"/>
        <w:spacing w:before="0" w:after="0" w:line="500" w:lineRule="exact"/>
        <w:rPr>
          <w:rFonts w:cs="Arial"/>
          <w:b/>
          <w:color w:val="000000" w:themeColor="text1"/>
          <w:sz w:val="30"/>
          <w:szCs w:val="30"/>
          <w:highlight w:val="none"/>
          <w14:textFill>
            <w14:solidFill>
              <w14:schemeClr w14:val="tx1"/>
            </w14:solidFill>
          </w14:textFill>
        </w:rPr>
      </w:pPr>
      <w:r/>
      <w:bookmarkStart w:id="192" w:name="_Hlt26955039"/>
      <w:r/>
      <w:bookmarkEnd w:id="192"/>
      <w:r/>
      <w:bookmarkStart w:id="193" w:name="_Hlt26671244"/>
      <w:r/>
      <w:bookmarkEnd w:id="193"/>
      <w:r/>
      <w:bookmarkStart w:id="194" w:name="_Toc120614282"/>
      <w:r/>
      <w:bookmarkStart w:id="195" w:name="_Toc49090576"/>
      <w:r/>
      <w:bookmarkStart w:id="196" w:name="_Toc26554094"/>
      <w:r>
        <w:rPr>
          <w:rFonts w:hint="eastAsia" w:cs="Arial"/>
          <w:b/>
          <w:color w:val="000000" w:themeColor="text1"/>
          <w:sz w:val="30"/>
          <w:szCs w:val="30"/>
          <w:highlight w:val="none"/>
          <w14:textFill>
            <w14:solidFill>
              <w14:schemeClr w14:val="tx1"/>
            </w14:solidFill>
          </w14:textFill>
        </w:rPr>
        <w:t xml:space="preserve">第一部分  投标文件内容</w:t>
      </w:r>
      <w:r/>
    </w:p>
    <w:p>
      <w:pPr>
        <w:pStyle w:val="1001"/>
        <w:ind w:firstLine="0"/>
        <w:spacing w:before="0" w:after="0" w:line="500" w:lineRule="exact"/>
        <w:rPr>
          <w:rFonts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一、</w:t>
      </w:r>
      <w:r>
        <w:rPr>
          <w:rFonts w:hint="eastAsia"/>
          <w:b/>
          <w:color w:val="000000" w:themeColor="text1"/>
          <w:sz w:val="28"/>
          <w:szCs w:val="28"/>
          <w:highlight w:val="none"/>
          <w14:textFill>
            <w14:solidFill>
              <w14:schemeClr w14:val="tx1"/>
            </w14:solidFill>
          </w14:textFill>
        </w:rPr>
        <w:t xml:space="preserve">资格证明文件</w:t>
      </w:r>
      <w:r/>
    </w:p>
    <w:tbl>
      <w:tblPr>
        <w:tblStyle w:val="73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01"/>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序号</w:t>
            </w:r>
            <w:r/>
          </w:p>
        </w:tc>
        <w:tc>
          <w:tcPr>
            <w:tcW w:w="6104" w:type="dxa"/>
            <w:vAlign w:val="center"/>
            <w:textDirection w:val="lrTb"/>
            <w:noWrap w:val="false"/>
          </w:tcPr>
          <w:p>
            <w:pPr>
              <w:pStyle w:val="1001"/>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评审项及评审要求</w:t>
            </w:r>
            <w:r/>
          </w:p>
        </w:tc>
        <w:tc>
          <w:tcPr>
            <w:tcW w:w="2449" w:type="dxa"/>
            <w:vAlign w:val="center"/>
            <w:textDirection w:val="lrTb"/>
            <w:noWrap w:val="false"/>
          </w:tcPr>
          <w:p>
            <w:pPr>
              <w:pStyle w:val="1001"/>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审查因素</w:t>
            </w:r>
            <w:r/>
          </w:p>
        </w:tc>
      </w:tr>
      <w:tr>
        <w:trPr>
          <w:jc w:val="center"/>
          <w:trHeight w:val="1335"/>
        </w:trPr>
        <w:tc>
          <w:tcPr>
            <w:tcW w:w="719" w:type="dxa"/>
            <w:vAlign w:val="center"/>
            <w:textDirection w:val="lrTb"/>
            <w:noWrap w:val="false"/>
          </w:tcPr>
          <w:p>
            <w:pPr>
              <w:pStyle w:val="100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6104" w:type="dxa"/>
            <w:vAlign w:val="center"/>
            <w:textDirection w:val="lrTb"/>
            <w:noWrap w:val="false"/>
          </w:tcPr>
          <w:p>
            <w:pPr>
              <w:pStyle w:val="1001"/>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01"/>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通用资格要求，详见第一章《投标邀请》</w:t>
            </w:r>
            <w:r/>
          </w:p>
        </w:tc>
      </w:tr>
      <w:tr>
        <w:trPr>
          <w:jc w:val="center"/>
          <w:trHeight w:val="812"/>
        </w:trPr>
        <w:tc>
          <w:tcPr>
            <w:tcW w:w="719" w:type="dxa"/>
            <w:vAlign w:val="center"/>
            <w:textDirection w:val="lrTb"/>
            <w:noWrap w:val="false"/>
          </w:tcPr>
          <w:p>
            <w:pPr>
              <w:pStyle w:val="100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6104" w:type="dxa"/>
            <w:vAlign w:val="center"/>
            <w:textDirection w:val="lrTb"/>
            <w:noWrap w:val="false"/>
          </w:tcPr>
          <w:p>
            <w:pPr>
              <w:pStyle w:val="1001"/>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01"/>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1684"/>
        </w:trPr>
        <w:tc>
          <w:tcPr>
            <w:tcW w:w="719" w:type="dxa"/>
            <w:vAlign w:val="center"/>
            <w:textDirection w:val="lrTb"/>
            <w:noWrap w:val="false"/>
          </w:tcPr>
          <w:p>
            <w:pPr>
              <w:pStyle w:val="100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6104" w:type="dxa"/>
            <w:vAlign w:val="center"/>
            <w:textDirection w:val="lrTb"/>
            <w:noWrap w:val="false"/>
          </w:tcPr>
          <w:p>
            <w:pPr>
              <w:pStyle w:val="1001"/>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86"/>
                <w:rFonts w:hint="eastAsia" w:ascii="宋体" w:hAnsi="宋体" w:cs="宋体"/>
                <w:color w:val="000000" w:themeColor="text1"/>
                <w:sz w:val="24"/>
                <w:szCs w:val="24"/>
                <w:highlight w:val="none"/>
                <w14:textFill>
                  <w14:solidFill>
                    <w14:schemeClr w14:val="tx1"/>
                  </w14:solidFill>
                </w14:textFill>
              </w:rPr>
              <w:t xml:space="preserve">。</w:t>
            </w:r>
            <w:r/>
          </w:p>
        </w:tc>
        <w:tc>
          <w:tcPr>
            <w:tcW w:w="2449" w:type="dxa"/>
            <w:vAlign w:val="center"/>
            <w:vMerge w:val="continue"/>
            <w:textDirection w:val="lrTb"/>
            <w:noWrap w:val="false"/>
          </w:tcPr>
          <w:p>
            <w:pPr>
              <w:pStyle w:val="1001"/>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963"/>
        </w:trPr>
        <w:tc>
          <w:tcPr>
            <w:tcW w:w="719" w:type="dxa"/>
            <w:vAlign w:val="center"/>
            <w:textDirection w:val="lrTb"/>
            <w:noWrap w:val="false"/>
          </w:tcPr>
          <w:p>
            <w:pPr>
              <w:pStyle w:val="100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W w:w="6104" w:type="dxa"/>
            <w:vAlign w:val="center"/>
            <w:textDirection w:val="lrTb"/>
            <w:noWrap w:val="false"/>
          </w:tcPr>
          <w:p>
            <w:pPr>
              <w:pStyle w:val="1001"/>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01"/>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1023"/>
        </w:trPr>
        <w:tc>
          <w:tcPr>
            <w:tcW w:w="719" w:type="dxa"/>
            <w:vAlign w:val="center"/>
            <w:textDirection w:val="lrTb"/>
            <w:noWrap w:val="false"/>
          </w:tcPr>
          <w:p>
            <w:pPr>
              <w:pStyle w:val="100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W w:w="6104" w:type="dxa"/>
            <w:vAlign w:val="center"/>
            <w:textDirection w:val="lrTb"/>
            <w:noWrap w:val="false"/>
          </w:tcPr>
          <w:p>
            <w:pPr>
              <w:pStyle w:val="1001"/>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01"/>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705"/>
        </w:trPr>
        <w:tc>
          <w:tcPr>
            <w:tcW w:w="719" w:type="dxa"/>
            <w:vAlign w:val="center"/>
            <w:textDirection w:val="lrTb"/>
            <w:noWrap w:val="false"/>
          </w:tcPr>
          <w:p>
            <w:pPr>
              <w:pStyle w:val="100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W w:w="6104" w:type="dxa"/>
            <w:vAlign w:val="center"/>
            <w:textDirection w:val="lrTb"/>
            <w:noWrap w:val="false"/>
          </w:tcPr>
          <w:p>
            <w:pPr>
              <w:pStyle w:val="1001"/>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01"/>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700"/>
        </w:trPr>
        <w:tc>
          <w:tcPr>
            <w:tcW w:w="719" w:type="dxa"/>
            <w:vAlign w:val="center"/>
            <w:textDirection w:val="lrTb"/>
            <w:noWrap w:val="false"/>
          </w:tcPr>
          <w:p>
            <w:pPr>
              <w:pStyle w:val="100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01"/>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1001"/>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8</w:t>
            </w:r>
            <w:r/>
          </w:p>
        </w:tc>
        <w:tc>
          <w:tcPr>
            <w:tcW w:w="6104" w:type="dxa"/>
            <w:vAlign w:val="center"/>
            <w:textDirection w:val="lrTb"/>
            <w:noWrap w:val="false"/>
          </w:tcPr>
          <w:p>
            <w:pPr>
              <w:pStyle w:val="1001"/>
              <w:ind w:firstLine="0"/>
              <w:jc w:val="both"/>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本项目要求的特定资格证明</w:t>
            </w:r>
            <w:r>
              <w:rPr>
                <w:rFonts w:hint="eastAsia" w:ascii="宋体" w:hAnsi="宋体" w:cs="宋体"/>
                <w:color w:val="000000" w:themeColor="text1"/>
                <w:highlight w:val="none"/>
                <w14:textFill>
                  <w14:solidFill>
                    <w14:schemeClr w14:val="tx1"/>
                  </w14:solidFill>
                </w14:textFill>
              </w:rPr>
              <w:t xml:space="preserve">文件（</w:t>
            </w:r>
            <w:r>
              <w:rPr>
                <w:rFonts w:hint="eastAsia" w:ascii="宋体" w:hAnsi="宋体" w:cs="宋体"/>
                <w:bCs/>
                <w:color w:val="000000" w:themeColor="text1"/>
                <w:highlight w:val="none"/>
                <w14:textFill>
                  <w14:solidFill>
                    <w14:schemeClr w14:val="tx1"/>
                  </w14:solidFill>
                </w14:textFill>
              </w:rPr>
              <w:t xml:space="preserve">如有</w:t>
            </w:r>
            <w:r>
              <w:rPr>
                <w:rFonts w:hint="eastAsia" w:ascii="宋体" w:hAnsi="宋体" w:cs="宋体"/>
                <w:color w:val="000000" w:themeColor="text1"/>
                <w:highlight w:val="none"/>
                <w14:textFill>
                  <w14:solidFill>
                    <w14:schemeClr w14:val="tx1"/>
                  </w14:solidFill>
                </w14:textFill>
              </w:rPr>
              <w:t xml:space="preserve">）。</w:t>
            </w:r>
            <w:r/>
          </w:p>
        </w:tc>
        <w:tc>
          <w:tcPr>
            <w:tcW w:w="2449" w:type="dxa"/>
            <w:vAlign w:val="center"/>
            <w:textDirection w:val="lrTb"/>
            <w:noWrap w:val="false"/>
          </w:tcPr>
          <w:p>
            <w:pPr>
              <w:pStyle w:val="1001"/>
              <w:ind w:firstLine="0"/>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01"/>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9</w:t>
            </w:r>
            <w:r/>
          </w:p>
        </w:tc>
        <w:tc>
          <w:tcPr>
            <w:tcW w:w="6104" w:type="dxa"/>
            <w:vAlign w:val="center"/>
            <w:textDirection w:val="lrTb"/>
            <w:noWrap w:val="false"/>
          </w:tcPr>
          <w:p>
            <w:pPr>
              <w:pStyle w:val="1001"/>
              <w:ind w:firstLine="0"/>
              <w:jc w:val="both"/>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《联合体协议》（如有，格式自拟）。</w:t>
            </w:r>
            <w:r/>
          </w:p>
        </w:tc>
        <w:tc>
          <w:tcPr>
            <w:tcW w:w="2449" w:type="dxa"/>
            <w:vAlign w:val="center"/>
            <w:textDirection w:val="lrTb"/>
            <w:noWrap w:val="false"/>
          </w:tcPr>
          <w:p>
            <w:pPr>
              <w:pStyle w:val="1001"/>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12"/>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none"/>
          <w14:textFill>
            <w14:solidFill>
              <w14:schemeClr w14:val="tx1"/>
            </w14:solidFill>
          </w14:textFill>
        </w:rPr>
        <w:t xml:space="preserve">其中</w:t>
      </w:r>
      <w:r>
        <w:rPr>
          <w:rFonts w:ascii="宋体" w:hAnsi="宋体"/>
          <w:color w:val="000000" w:themeColor="text1"/>
          <w:sz w:val="24"/>
          <w:szCs w:val="24"/>
          <w:highlight w:val="none"/>
          <w14:textFill>
            <w14:solidFill>
              <w14:schemeClr w14:val="tx1"/>
            </w14:solidFill>
          </w14:textFill>
        </w:rPr>
        <w:t xml:space="preserve">第</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 xml:space="preserve">等</w:t>
      </w:r>
      <w:r>
        <w:rPr>
          <w:rFonts w:ascii="宋体" w:hAnsi="宋体"/>
          <w:color w:val="000000" w:themeColor="text1"/>
          <w:sz w:val="24"/>
          <w:szCs w:val="24"/>
          <w:highlight w:val="non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none"/>
          <w14:textFill>
            <w14:solidFill>
              <w14:schemeClr w14:val="tx1"/>
            </w14:solidFill>
          </w14:textFill>
        </w:rPr>
        <w:t xml:space="preserve">确无法提供</w:t>
      </w:r>
      <w:r>
        <w:rPr>
          <w:rFonts w:ascii="宋体" w:hAnsi="宋体"/>
          <w:color w:val="000000" w:themeColor="text1"/>
          <w:sz w:val="24"/>
          <w:szCs w:val="24"/>
          <w:highlight w:val="none"/>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2"/>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专门面向中小</w:t>
      </w:r>
      <w:r>
        <w:rPr>
          <w:rFonts w:hint="eastAsia" w:ascii="宋体" w:hAnsi="宋体"/>
          <w:color w:val="000000" w:themeColor="text1"/>
          <w:sz w:val="24"/>
          <w:szCs w:val="24"/>
          <w:highlight w:val="none"/>
          <w14:textFill>
            <w14:solidFill>
              <w14:schemeClr w14:val="tx1"/>
            </w14:solidFill>
          </w14:textFill>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2"/>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8项，如本项目有特定资格要求的（详见第一章《投标邀请》），须提供相应的特定资格证明文件。</w:t>
      </w:r>
      <w:r/>
    </w:p>
    <w:p>
      <w:pPr>
        <w:numPr>
          <w:ilvl w:val="0"/>
          <w:numId w:val="12"/>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如项目接受联合体投标且投标人为联合体时，</w:t>
      </w: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01"/>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1001"/>
              <w:ind w:firstLine="0"/>
              <w:jc w:val="center"/>
              <w:spacing w:before="0" w:after="0" w:line="240" w:lineRule="auto"/>
              <w:rPr>
                <w:rFonts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评审项及评审要求</w:t>
            </w:r>
            <w:r/>
          </w:p>
        </w:tc>
        <w:tc>
          <w:tcPr>
            <w:tcW w:w="1979" w:type="dxa"/>
            <w:vAlign w:val="center"/>
            <w:textDirection w:val="lrTb"/>
            <w:noWrap w:val="false"/>
          </w:tcPr>
          <w:p>
            <w:pPr>
              <w:pStyle w:val="1001"/>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1001"/>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1001"/>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1001"/>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符合性证明文件</w:t>
            </w:r>
            <w:r/>
          </w:p>
        </w:tc>
      </w:tr>
      <w:tr>
        <w:trPr>
          <w:jc w:val="center"/>
          <w:trHeight w:val="567"/>
        </w:trPr>
        <w:tc>
          <w:tcPr>
            <w:tcW w:w="823" w:type="dxa"/>
            <w:vAlign w:val="center"/>
            <w:textDirection w:val="lrTb"/>
            <w:noWrap w:val="false"/>
          </w:tcPr>
          <w:p>
            <w:pPr>
              <w:pStyle w:val="1001"/>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tcW w:w="6095" w:type="dxa"/>
            <w:vAlign w:val="center"/>
            <w:textDirection w:val="lrTb"/>
            <w:noWrap w:val="false"/>
          </w:tcPr>
          <w:p>
            <w:pPr>
              <w:pStyle w:val="1001"/>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1001"/>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jc w:val="center"/>
          <w:trHeight w:val="567"/>
        </w:trPr>
        <w:tc>
          <w:tcPr>
            <w:tcW w:w="823" w:type="dxa"/>
            <w:vAlign w:val="center"/>
            <w:textDirection w:val="lrTb"/>
            <w:noWrap w:val="false"/>
          </w:tcPr>
          <w:p>
            <w:pPr>
              <w:pStyle w:val="1001"/>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095" w:type="dxa"/>
            <w:vAlign w:val="center"/>
            <w:textDirection w:val="lrTb"/>
            <w:noWrap w:val="false"/>
          </w:tcPr>
          <w:p>
            <w:pPr>
              <w:pStyle w:val="1001"/>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01"/>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jc w:val="center"/>
          <w:trHeight w:val="567"/>
        </w:trPr>
        <w:tc>
          <w:tcPr>
            <w:tcW w:w="823" w:type="dxa"/>
            <w:vAlign w:val="center"/>
            <w:textDirection w:val="lrTb"/>
            <w:noWrap w:val="false"/>
          </w:tcPr>
          <w:p>
            <w:pPr>
              <w:pStyle w:val="1001"/>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6095" w:type="dxa"/>
            <w:vAlign w:val="center"/>
            <w:textDirection w:val="lrTb"/>
            <w:noWrap w:val="false"/>
          </w:tcPr>
          <w:p>
            <w:pPr>
              <w:pStyle w:val="1001"/>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01"/>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jc w:val="center"/>
          <w:trHeight w:val="567"/>
        </w:trPr>
        <w:tc>
          <w:tcPr>
            <w:tcW w:w="823" w:type="dxa"/>
            <w:vAlign w:val="center"/>
            <w:textDirection w:val="lrTb"/>
            <w:noWrap w:val="false"/>
          </w:tcPr>
          <w:p>
            <w:pPr>
              <w:pStyle w:val="1001"/>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6095" w:type="dxa"/>
            <w:vAlign w:val="center"/>
            <w:textDirection w:val="lrTb"/>
            <w:noWrap w:val="false"/>
          </w:tcPr>
          <w:p>
            <w:pPr>
              <w:pStyle w:val="1001"/>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01"/>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jc w:val="center"/>
          <w:trHeight w:val="567"/>
        </w:trPr>
        <w:tc>
          <w:tcPr>
            <w:tcW w:w="823" w:type="dxa"/>
            <w:vAlign w:val="center"/>
            <w:textDirection w:val="lrTb"/>
            <w:noWrap w:val="false"/>
          </w:tcPr>
          <w:p>
            <w:pPr>
              <w:pStyle w:val="1001"/>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6095" w:type="dxa"/>
            <w:vAlign w:val="center"/>
            <w:textDirection w:val="lrTb"/>
            <w:noWrap w:val="false"/>
          </w:tcPr>
          <w:p>
            <w:pPr>
              <w:pStyle w:val="1001"/>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《采购需求》中要求提供的证明文件</w:t>
            </w:r>
            <w:r/>
          </w:p>
        </w:tc>
        <w:tc>
          <w:tcPr>
            <w:tcW w:w="1979" w:type="dxa"/>
            <w:vAlign w:val="center"/>
            <w:vMerge w:val="continue"/>
            <w:textDirection w:val="lrTb"/>
            <w:noWrap w:val="false"/>
          </w:tcPr>
          <w:p>
            <w:pPr>
              <w:pStyle w:val="1001"/>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jc w:val="center"/>
          <w:trHeight w:val="567"/>
        </w:trPr>
        <w:tc>
          <w:tcPr>
            <w:tcW w:w="823" w:type="dxa"/>
            <w:vAlign w:val="center"/>
            <w:textDirection w:val="lrTb"/>
            <w:noWrap w:val="false"/>
          </w:tcPr>
          <w:p>
            <w:pPr>
              <w:pStyle w:val="1001"/>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w:t>
            </w:r>
            <w:r/>
          </w:p>
        </w:tc>
        <w:tc>
          <w:tcPr>
            <w:tcW w:w="6095" w:type="dxa"/>
            <w:vAlign w:val="center"/>
            <w:textDirection w:val="lrTb"/>
            <w:noWrap w:val="false"/>
          </w:tcPr>
          <w:p>
            <w:pPr>
              <w:pStyle w:val="1001"/>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01"/>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其他证明文件</w:t>
            </w:r>
            <w:r/>
          </w:p>
        </w:tc>
      </w:tr>
      <w:tr>
        <w:trPr>
          <w:jc w:val="center"/>
          <w:trHeight w:val="567"/>
        </w:trPr>
        <w:tc>
          <w:tcPr>
            <w:tcW w:w="823" w:type="dxa"/>
            <w:vAlign w:val="center"/>
            <w:textDirection w:val="lrTb"/>
            <w:noWrap w:val="false"/>
          </w:tcPr>
          <w:p>
            <w:pPr>
              <w:pStyle w:val="1001"/>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w:t>
            </w:r>
            <w:r/>
          </w:p>
        </w:tc>
        <w:tc>
          <w:tcPr>
            <w:tcW w:w="6095" w:type="dxa"/>
            <w:vAlign w:val="center"/>
            <w:textDirection w:val="lrTb"/>
            <w:noWrap w:val="false"/>
          </w:tcPr>
          <w:p>
            <w:pPr>
              <w:pStyle w:val="1001"/>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01"/>
              <w:ind w:firstLine="0"/>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13"/>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olor w:val="000000" w:themeColor="text1"/>
          <w:sz w:val="24"/>
          <w:szCs w:val="24"/>
          <w:highlight w:val="non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13"/>
        </w:num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non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  投标文件格式</w:t>
      </w:r>
      <w:r/>
    </w:p>
    <w:p>
      <w:pPr>
        <w:pStyle w:val="1001"/>
        <w:ind w:firstLine="0"/>
        <w:spacing w:before="0" w:after="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 xml:space="preserve">一、封面格式（参考格式）：</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投  标  文  件</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JSZC-320200-XWJC-G2025-0117</w:t>
      </w:r>
      <w:r/>
    </w:p>
    <w:p>
      <w:pPr>
        <w:ind w:left="3289" w:hanging="15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江南大学附属医院胃肠镜主机、高清电子胃镜、高清电子肠镜项目</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日    期：</w:t>
      </w:r>
      <w:r/>
    </w:p>
    <w:p>
      <w:pPr>
        <w:spacing w:line="440" w:lineRule="exact"/>
        <w:rPr>
          <w:rFonts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二、授权委托书（给定格式）：</w:t>
      </w:r>
      <w:r/>
    </w:p>
    <w:p>
      <w:pPr>
        <w:jc w:val="center"/>
        <w:rPr>
          <w:rFonts w:hint="eastAsia" w:ascii="宋体" w:hAnsi="宋体"/>
          <w:color w:val="000000" w:themeColor="text1"/>
          <w:sz w:val="24"/>
          <w:highlight w:val="non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授权委托书</w:t>
      </w:r>
      <w:r/>
    </w:p>
    <w:p>
      <w:pPr>
        <w:pStyle w:val="999"/>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我公司（单位）针对</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JSZC-320200-XWJC-G2025-0117</w:t>
      </w:r>
      <w:r>
        <w:rPr>
          <w:rFonts w:hint="eastAsia" w:ascii="宋体" w:hAnsi="宋体"/>
          <w:bCs/>
          <w:color w:val="000000" w:themeColor="text1"/>
          <w:sz w:val="24"/>
          <w:szCs w:val="24"/>
          <w:highlight w:val="none"/>
          <w14:textFill>
            <w14:solidFill>
              <w14:schemeClr w14:val="tx1"/>
            </w14:solidFill>
          </w14:textFill>
        </w:rPr>
        <w:t xml:space="preserve">项目，兹授权：</w:t>
      </w:r>
      <w:r/>
    </w:p>
    <w:p>
      <w:pPr>
        <w:pStyle w:val="999"/>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被授权人的姓名：</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；性别：</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；年龄：</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；职务：</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99"/>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被授权人的身份证号码：</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；联系方式：</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99"/>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 xml:space="preserve">一切与该项目采购有关的事务。</w:t>
      </w:r>
      <w:r/>
    </w:p>
    <w:p>
      <w:pPr>
        <w:pStyle w:val="999"/>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 xml:space="preserve">授权委托</w:t>
      </w:r>
      <w:r>
        <w:rPr>
          <w:rFonts w:hint="eastAsia" w:ascii="宋体" w:hAnsi="宋体"/>
          <w:bCs/>
          <w:color w:val="000000" w:themeColor="text1"/>
          <w:sz w:val="24"/>
          <w:szCs w:val="24"/>
          <w:highlight w:val="none"/>
          <w14:textFill>
            <w14:solidFill>
              <w14:schemeClr w14:val="tx1"/>
            </w14:solidFill>
          </w14:textFill>
        </w:rPr>
        <w:t xml:space="preserve">书有效期内签署的）不因授权的撤销而失效。</w:t>
      </w:r>
      <w:r/>
    </w:p>
    <w:p>
      <w:pPr>
        <w:pStyle w:val="999"/>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特此授权委托。</w:t>
      </w:r>
      <w:r/>
    </w:p>
    <w:p>
      <w:pPr>
        <w:pStyle w:val="999"/>
        <w:ind w:firstLine="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999"/>
        <w:ind w:firstLine="0"/>
        <w:spacing w:line="360" w:lineRule="auto"/>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授权日期：</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                     投标人名称</w:t>
      </w:r>
      <w:r>
        <w:rPr>
          <w:rFonts w:hint="eastAsia" w:ascii="宋体" w:hAnsi="宋体"/>
          <w:bCs/>
          <w:color w:val="000000" w:themeColor="text1"/>
          <w:sz w:val="24"/>
          <w:szCs w:val="24"/>
          <w:highlight w:val="none"/>
          <w14:textFill>
            <w14:solidFill>
              <w14:schemeClr w14:val="tx1"/>
            </w14:solidFill>
          </w14:textFill>
        </w:rPr>
        <w:t xml:space="preserve">（盖章）</w:t>
      </w:r>
      <w:r>
        <w:rPr>
          <w:rFonts w:hint="eastAsia"/>
          <w:color w:val="000000" w:themeColor="text1"/>
          <w:sz w:val="24"/>
          <w:szCs w:val="24"/>
          <w:highlight w:val="none"/>
          <w14:textFill>
            <w14:solidFill>
              <w14:schemeClr w14:val="tx1"/>
            </w14:solidFill>
          </w14:textFill>
        </w:rPr>
        <w:t xml:space="preserve">：</w:t>
      </w:r>
      <w:r/>
    </w:p>
    <w:p>
      <w:pPr>
        <w:pStyle w:val="999"/>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被授权人签字：</w:t>
      </w:r>
      <w:r>
        <w:rPr>
          <w:rFonts w:hint="eastAsia"/>
          <w:color w:val="000000" w:themeColor="text1"/>
          <w:sz w:val="24"/>
          <w:szCs w:val="24"/>
          <w:highlight w:val="none"/>
          <w:u w:val="single"/>
          <w14:textFill>
            <w14:solidFill>
              <w14:schemeClr w14:val="tx1"/>
            </w14:solidFill>
          </w14:textFill>
        </w:rPr>
        <w:t xml:space="preserve">        </w:t>
      </w:r>
      <w:r/>
    </w:p>
    <w:p>
      <w:pPr>
        <w:pStyle w:val="999"/>
        <w:ind w:firstLine="0"/>
        <w:spacing w:line="360" w:lineRule="auto"/>
        <w:rPr>
          <w:rFonts w:hint="eastAsia" w:ascii="宋体" w:hAnsi="宋体" w:cs="宋体"/>
          <w:b/>
          <w:color w:val="000000" w:themeColor="text1"/>
          <w:sz w:val="30"/>
          <w:highlight w:val="non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w:r>
      <w:r/>
    </w:p>
    <w:p>
      <w:pPr>
        <w:pStyle w:val="999"/>
        <w:ind w:firstLine="0"/>
        <w:spacing w:line="360" w:lineRule="auto"/>
        <w:rPr>
          <w:color w:val="000000" w:themeColor="text1"/>
          <w:sz w:val="24"/>
          <w:szCs w:val="24"/>
          <w:highlight w:val="non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w:t xml:space="preserve">（被授权人身份证原件扫描件附后）</w:t>
      </w:r>
      <w:r/>
    </w:p>
    <w:p>
      <w:pPr>
        <w:pStyle w:val="999"/>
        <w:ind w:firstLine="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999"/>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说明：</w:t>
      </w:r>
      <w:r/>
    </w:p>
    <w:p>
      <w:pPr>
        <w:pStyle w:val="999"/>
        <w:numPr>
          <w:ilvl w:val="0"/>
          <w:numId w:val="14"/>
        </w:numPr>
        <w:ind w:firstLine="480"/>
        <w:spacing w:line="360" w:lineRule="auto"/>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若</w:t>
      </w:r>
      <w:r>
        <w:rPr>
          <w:rFonts w:hint="eastAsia" w:ascii="宋体" w:hAnsi="宋体"/>
          <w:color w:val="000000" w:themeColor="text1"/>
          <w:sz w:val="24"/>
          <w:szCs w:val="20"/>
          <w:highlight w:val="none"/>
          <w14:textFill>
            <w14:solidFill>
              <w14:schemeClr w14:val="tx1"/>
            </w14:solidFill>
          </w14:textFill>
        </w:rPr>
        <w:t xml:space="preserve">投标人</w:t>
      </w:r>
      <w:r>
        <w:rPr>
          <w:rFonts w:ascii="宋体" w:hAnsi="宋体"/>
          <w:color w:val="000000" w:themeColor="text1"/>
          <w:sz w:val="24"/>
          <w:szCs w:val="20"/>
          <w:highlight w:val="non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none"/>
          <w14:textFill>
            <w14:solidFill>
              <w14:schemeClr w14:val="tx1"/>
            </w14:solidFill>
          </w14:textFill>
        </w:rPr>
        <w:t xml:space="preserve">限招标</w:t>
      </w:r>
      <w:r>
        <w:rPr>
          <w:rFonts w:ascii="宋体" w:hAnsi="宋体"/>
          <w:color w:val="000000" w:themeColor="text1"/>
          <w:sz w:val="24"/>
          <w:szCs w:val="20"/>
          <w:highlight w:val="none"/>
          <w14:textFill>
            <w14:solidFill>
              <w14:schemeClr w14:val="tx1"/>
            </w14:solidFill>
          </w14:textFill>
        </w:rPr>
        <w:t xml:space="preserve">文件注明允许分支机构</w:t>
      </w:r>
      <w:r>
        <w:rPr>
          <w:rFonts w:hint="eastAsia" w:ascii="宋体" w:hAnsi="宋体"/>
          <w:color w:val="000000" w:themeColor="text1"/>
          <w:sz w:val="24"/>
          <w:szCs w:val="20"/>
          <w:highlight w:val="none"/>
          <w14:textFill>
            <w14:solidFill>
              <w14:schemeClr w14:val="tx1"/>
            </w14:solidFill>
          </w14:textFill>
        </w:rPr>
        <w:t xml:space="preserve">投标情形</w:t>
      </w:r>
      <w:r>
        <w:rPr>
          <w:rFonts w:ascii="宋体" w:hAnsi="宋体"/>
          <w:color w:val="000000" w:themeColor="text1"/>
          <w:sz w:val="24"/>
          <w:szCs w:val="20"/>
          <w:highlight w:val="none"/>
          <w14:textFill>
            <w14:solidFill>
              <w14:schemeClr w14:val="tx1"/>
            </w14:solidFill>
          </w14:textFill>
        </w:rPr>
        <w:t xml:space="preserve">的），则法定代表人</w:t>
      </w:r>
      <w:r>
        <w:rPr>
          <w:rFonts w:hint="eastAsia" w:ascii="宋体" w:hAnsi="宋体"/>
          <w:color w:val="000000" w:themeColor="text1"/>
          <w:sz w:val="24"/>
          <w:szCs w:val="20"/>
          <w:highlight w:val="none"/>
          <w14:textFill>
            <w14:solidFill>
              <w14:schemeClr w14:val="tx1"/>
            </w14:solidFill>
          </w14:textFill>
        </w:rPr>
        <w:t xml:space="preserve">处</w:t>
      </w:r>
      <w:r>
        <w:rPr>
          <w:rFonts w:ascii="宋体" w:hAnsi="宋体"/>
          <w:color w:val="000000" w:themeColor="text1"/>
          <w:sz w:val="24"/>
          <w:szCs w:val="20"/>
          <w:highlight w:val="none"/>
          <w14:textFill>
            <w14:solidFill>
              <w14:schemeClr w14:val="tx1"/>
            </w14:solidFill>
          </w14:textFill>
        </w:rPr>
        <w:t xml:space="preserve">的签</w:t>
      </w:r>
      <w:r>
        <w:rPr>
          <w:rFonts w:hint="eastAsia" w:ascii="宋体" w:hAnsi="宋体"/>
          <w:color w:val="000000" w:themeColor="text1"/>
          <w:sz w:val="24"/>
          <w:szCs w:val="20"/>
          <w:highlight w:val="none"/>
          <w14:textFill>
            <w14:solidFill>
              <w14:schemeClr w14:val="tx1"/>
            </w14:solidFill>
          </w14:textFill>
        </w:rPr>
        <w:t xml:space="preserve">字</w:t>
      </w:r>
      <w:r>
        <w:rPr>
          <w:rFonts w:ascii="宋体" w:hAnsi="宋体"/>
          <w:color w:val="000000" w:themeColor="text1"/>
          <w:sz w:val="24"/>
          <w:szCs w:val="20"/>
          <w:highlight w:val="none"/>
          <w14:textFill>
            <w14:solidFill>
              <w14:schemeClr w14:val="tx1"/>
            </w14:solidFill>
          </w14:textFill>
        </w:rPr>
        <w:t xml:space="preserve">人可为单位负责人</w:t>
      </w:r>
      <w:r>
        <w:rPr>
          <w:rFonts w:hint="eastAsia" w:ascii="宋体" w:hAnsi="宋体"/>
          <w:color w:val="000000" w:themeColor="text1"/>
          <w:sz w:val="24"/>
          <w:szCs w:val="20"/>
          <w:highlight w:val="none"/>
          <w14:textFill>
            <w14:solidFill>
              <w14:schemeClr w14:val="tx1"/>
            </w14:solidFill>
          </w14:textFill>
        </w:rPr>
        <w:t xml:space="preserve">。</w:t>
      </w:r>
      <w:r/>
    </w:p>
    <w:p>
      <w:pPr>
        <w:pStyle w:val="999"/>
        <w:numPr>
          <w:ilvl w:val="0"/>
          <w:numId w:val="14"/>
        </w:numPr>
        <w:ind w:firstLine="480"/>
        <w:spacing w:line="36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highlight w:val="none"/>
          <w14:textFill>
            <w14:solidFill>
              <w14:schemeClr w14:val="tx1"/>
            </w14:solidFill>
          </w14:textFill>
        </w:rPr>
        <w:t xml:space="preserve">法定代表人</w:t>
      </w:r>
      <w:r>
        <w:rPr>
          <w:rFonts w:hint="eastAsia" w:ascii="宋体" w:hAnsi="宋体"/>
          <w:color w:val="000000" w:themeColor="text1"/>
          <w:sz w:val="24"/>
          <w:szCs w:val="20"/>
          <w:highlight w:val="none"/>
          <w14:textFill>
            <w14:solidFill>
              <w14:schemeClr w14:val="tx1"/>
            </w14:solidFill>
          </w14:textFill>
        </w:rPr>
        <w:t xml:space="preserve">处签字即可。</w:t>
      </w:r>
      <w:r/>
    </w:p>
    <w:p>
      <w:pPr>
        <w:pStyle w:val="999"/>
        <w:numPr>
          <w:ilvl w:val="0"/>
          <w:numId w:val="14"/>
        </w:numPr>
        <w:ind w:firstLine="480"/>
        <w:spacing w:line="36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供应商为自然人情形的，可不提供本</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授权委托书</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w:t>
      </w:r>
      <w:r/>
    </w:p>
    <w:p>
      <w:pPr>
        <w:pStyle w:val="999"/>
        <w:numPr>
          <w:ilvl w:val="0"/>
          <w:numId w:val="14"/>
        </w:numPr>
        <w:ind w:firstLine="480"/>
        <w:spacing w:line="36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被授权人为外籍、港、澳、台地区人士的，其身份证明须提供有效的护照或港澳同胞来往内地通行证、台湾同胞来往大陆通行证，或</w:t>
      </w:r>
      <w:r>
        <w:rPr>
          <w:rFonts w:hint="eastAsia" w:ascii="宋体" w:hAnsi="宋体"/>
          <w:bCs/>
          <w:color w:val="000000" w:themeColor="text1"/>
          <w:sz w:val="24"/>
          <w:szCs w:val="24"/>
          <w:highlight w:val="none"/>
          <w:lang w:eastAsia="zh-CN"/>
          <w14:textFill>
            <w14:solidFill>
              <w14:schemeClr w14:val="tx1"/>
            </w14:solidFill>
          </w14:textFill>
        </w:rPr>
        <w:t xml:space="preserve">其他可以</w:t>
      </w:r>
      <w:r>
        <w:rPr>
          <w:rFonts w:hint="eastAsia" w:ascii="宋体" w:hAnsi="宋体"/>
          <w:bCs/>
          <w:color w:val="000000" w:themeColor="text1"/>
          <w:sz w:val="24"/>
          <w:szCs w:val="24"/>
          <w:highlight w:val="none"/>
          <w14:textFill>
            <w14:solidFill>
              <w14:schemeClr w14:val="tx1"/>
            </w14:solidFill>
          </w14:textFill>
        </w:rPr>
        <w:t xml:space="preserve">在中国大陆有效居留的许可证明。</w:t>
      </w:r>
      <w:r/>
    </w:p>
    <w:p>
      <w:pPr>
        <w:pStyle w:val="999"/>
        <w:ind w:firstLine="0"/>
        <w:rPr>
          <w:rFonts w:hint="eastAsia"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none"/>
          <w14:textFill>
            <w14:solidFill>
              <w14:schemeClr w14:val="tx1"/>
            </w14:solidFill>
          </w14:textFill>
        </w:rPr>
        <w:outlineLvl w:val="0"/>
      </w:pPr>
      <w:r/>
      <w:bookmarkStart w:id="197" w:name="报价方关于资格的声明函（格式）"/>
      <w:r/>
      <w:bookmarkEnd w:id="197"/>
      <w:r>
        <w:rPr>
          <w:rFonts w:hint="eastAsia" w:ascii="黑体" w:eastAsia="黑体"/>
          <w:bCs/>
          <w:color w:val="000000" w:themeColor="text1"/>
          <w:sz w:val="28"/>
          <w:szCs w:val="28"/>
          <w:highlight w:val="non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无锡市卫生健康综合服务中心：</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JSZC-320200-XWJC-G2025-0117</w:t>
      </w:r>
      <w:r>
        <w:rPr>
          <w:rFonts w:hint="eastAsia" w:ascii="宋体" w:hAnsi="宋体"/>
          <w:bCs/>
          <w:color w:val="000000" w:themeColor="text1"/>
          <w:sz w:val="24"/>
          <w:szCs w:val="24"/>
          <w:highlight w:val="none"/>
          <w14:textFill>
            <w14:solidFill>
              <w14:schemeClr w14:val="tx1"/>
            </w14:solidFill>
          </w14:textFill>
        </w:rPr>
        <w:t xml:space="preserve">进行投标，并作如下声明</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2.本公司（单位）具备本次项目履行合同所必需的设备和专业技术能力。</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四、中小企业声明函（给定格式）：</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中小企业声明函（货物）</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szCs w:val="24"/>
          <w:highlight w:val="none"/>
          <w:u w:val="singl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 </w:t>
      </w:r>
      <w:r>
        <w:rPr>
          <w:rFonts w:ascii="宋体" w:hAnsi="宋体"/>
          <w:bCs/>
          <w:color w:val="000000" w:themeColor="text1"/>
          <w:sz w:val="24"/>
          <w:szCs w:val="24"/>
          <w:highlight w:val="none"/>
          <w:u w:val="single"/>
          <w14:textFill>
            <w14:solidFill>
              <w14:schemeClr w14:val="tx1"/>
            </w14:solidFill>
          </w14:textFill>
        </w:rPr>
        <w:t xml:space="preserve">（标的名称）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（采购文件中明确的所属行业） 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 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（采购文件中明确的所属行业） 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 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pStyle w:val="74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从业人员、营业收入、资产总额填报上一年度数据，无上一年度数据的新成立企业可不填报。</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2.在货物采购项目中，供应商提供的货物既有中小企业制造货物，也有大型企业制造货物的，不享受本办法规定的中小企业扶持政策。</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 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4.专门</w:t>
      </w:r>
      <w:r>
        <w:rPr>
          <w:color w:val="000000" w:themeColor="text1"/>
          <w:highlight w:val="none"/>
          <w14:textFill>
            <w14:solidFill>
              <w14:schemeClr w14:val="tx1"/>
            </w14:solidFill>
          </w14:textFill>
        </w:rPr>
        <w:t xml:space="preserve">面向中小微型企业</w:t>
      </w:r>
      <w:r>
        <w:rPr>
          <w:rFonts w:hint="eastAsia"/>
          <w:color w:val="000000" w:themeColor="text1"/>
          <w:highlight w:val="none"/>
          <w14:textFill>
            <w14:solidFill>
              <w14:schemeClr w14:val="tx1"/>
            </w14:solidFill>
          </w14:textFill>
        </w:rPr>
        <w:t xml:space="preserve">采购</w:t>
      </w:r>
      <w:r>
        <w:rPr>
          <w:color w:val="000000" w:themeColor="text1"/>
          <w:highlight w:val="none"/>
          <w14:textFill>
            <w14:solidFill>
              <w14:schemeClr w14:val="tx1"/>
            </w14:solidFill>
          </w14:textFill>
        </w:rPr>
        <w:t xml:space="preserve">的项目，</w:t>
      </w:r>
      <w:r>
        <w:rPr>
          <w:rFonts w:hint="eastAsia"/>
          <w:color w:val="000000" w:themeColor="text1"/>
          <w:highlight w:val="none"/>
          <w14:textFill>
            <w14:solidFill>
              <w14:schemeClr w14:val="tx1"/>
            </w14:solidFill>
          </w14:textFill>
        </w:rPr>
        <w:t xml:space="preserve">供应商如不提供此声明函，则</w:t>
      </w:r>
      <w:r>
        <w:rPr>
          <w:color w:val="000000" w:themeColor="text1"/>
          <w:highlight w:val="none"/>
          <w14:textFill>
            <w14:solidFill>
              <w14:schemeClr w14:val="tx1"/>
            </w14:solidFill>
          </w14:textFill>
        </w:rPr>
        <w:t xml:space="preserve">不能通过资格审查；</w:t>
      </w:r>
      <w:r>
        <w:rPr>
          <w:rFonts w:hint="eastAsia"/>
          <w:color w:val="000000" w:themeColor="text1"/>
          <w:highlight w:val="none"/>
          <w14:textFill>
            <w14:solidFill>
              <w14:schemeClr w14:val="tx1"/>
            </w14:solidFill>
          </w14:textFill>
        </w:rPr>
        <w:t xml:space="preserve">非专门</w:t>
      </w:r>
      <w:r>
        <w:rPr>
          <w:color w:val="000000" w:themeColor="text1"/>
          <w:highlight w:val="none"/>
          <w14:textFill>
            <w14:solidFill>
              <w14:schemeClr w14:val="tx1"/>
            </w14:solidFill>
          </w14:textFill>
        </w:rPr>
        <w:t xml:space="preserve">面向中小微型企业</w:t>
      </w:r>
      <w:r>
        <w:rPr>
          <w:rFonts w:hint="eastAsia"/>
          <w:color w:val="000000" w:themeColor="text1"/>
          <w:highlight w:val="none"/>
          <w14:textFill>
            <w14:solidFill>
              <w14:schemeClr w14:val="tx1"/>
            </w14:solidFill>
          </w14:textFill>
        </w:rPr>
        <w:t xml:space="preserve">采购</w:t>
      </w:r>
      <w:r>
        <w:rPr>
          <w:color w:val="000000" w:themeColor="text1"/>
          <w:highlight w:val="none"/>
          <w14:textFill>
            <w14:solidFill>
              <w14:schemeClr w14:val="tx1"/>
            </w14:solidFill>
          </w14:textFill>
        </w:rPr>
        <w:t xml:space="preserve">的项目，</w:t>
      </w:r>
      <w:r>
        <w:rPr>
          <w:rFonts w:hint="eastAsia"/>
          <w:color w:val="000000" w:themeColor="text1"/>
          <w:highlight w:val="none"/>
          <w14:textFill>
            <w14:solidFill>
              <w14:schemeClr w14:val="tx1"/>
            </w14:solidFill>
          </w14:textFill>
        </w:rPr>
        <w:t xml:space="preserve">供应商如不提供此声明函，价格将不做相应扣除。</w:t>
      </w:r>
      <w:r/>
    </w:p>
    <w:p>
      <w:pPr>
        <w:spacing w:line="44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hint="eastAsia" w:ascii="宋体" w:hAnsi="宋体" w:cs="宋体"/>
          <w:b/>
          <w:color w:val="000000" w:themeColor="text1"/>
          <w:sz w:val="30"/>
          <w:szCs w:val="30"/>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五</w:t>
      </w:r>
      <w:r>
        <w:rPr>
          <w:rFonts w:hint="eastAsia" w:ascii="宋体" w:hAnsi="宋体" w:cs="宋体"/>
          <w:b/>
          <w:color w:val="000000" w:themeColor="text1"/>
          <w:sz w:val="30"/>
          <w:szCs w:val="30"/>
          <w:highlight w:val="non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bCs/>
          <w:color w:val="000000" w:themeColor="text1"/>
          <w:sz w:val="24"/>
          <w:szCs w:val="24"/>
          <w:highlight w:val="none"/>
          <w14:textFill>
            <w14:solidFill>
              <w14:schemeClr w14:val="tx1"/>
            </w14:solidFill>
          </w14:textFill>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pacing w:line="360" w:lineRule="auto"/>
        <w:rPr>
          <w:b/>
          <w:color w:val="000000" w:themeColor="text1"/>
          <w:sz w:val="30"/>
          <w:szCs w:val="30"/>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六</w:t>
      </w:r>
      <w:r>
        <w:rPr>
          <w:b/>
          <w:color w:val="000000" w:themeColor="text1"/>
          <w:sz w:val="30"/>
          <w:szCs w:val="30"/>
          <w:highlight w:val="none"/>
          <w14:textFill>
            <w14:solidFill>
              <w14:schemeClr w14:val="tx1"/>
            </w14:solidFill>
          </w14:textFill>
        </w:rPr>
        <w:t xml:space="preserve">、投标函</w:t>
      </w:r>
      <w:r>
        <w:rPr>
          <w:rFonts w:hint="eastAsia"/>
          <w:b/>
          <w:color w:val="000000" w:themeColor="text1"/>
          <w:sz w:val="30"/>
          <w:szCs w:val="30"/>
          <w:highlight w:val="non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JSZC-320200-XWJC-G2025-0117</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招标文件，经仔细阅读和研究，我方决定参加此项目的投标。</w:t>
      </w:r>
      <w:r/>
    </w:p>
    <w:p>
      <w:pPr>
        <w:numPr>
          <w:ilvl w:val="0"/>
          <w:numId w:val="15"/>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15"/>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84"/>
          <w:rFonts w:hint="eastAsia"/>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我方愿意提供无锡市卫生健康综合服务中心在招标文件中要求的文件、资料。</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w:t>
      </w:r>
      <w:r>
        <w:rPr>
          <w:rFonts w:hint="eastAsia" w:ascii="宋体" w:hAnsi="宋体"/>
          <w:bCs/>
          <w:color w:val="000000" w:themeColor="text1"/>
          <w:sz w:val="24"/>
          <w:szCs w:val="24"/>
          <w:highlight w:val="none"/>
          <w:lang w:eastAsia="zh-CN"/>
          <w14:textFill>
            <w14:solidFill>
              <w14:schemeClr w14:val="tx1"/>
            </w14:solidFill>
          </w14:textFill>
        </w:rPr>
        <w:t xml:space="preserve">按照</w:t>
      </w:r>
      <w:r>
        <w:rPr>
          <w:rFonts w:hint="eastAsia" w:ascii="宋体" w:hAnsi="宋体"/>
          <w:bCs/>
          <w:color w:val="000000" w:themeColor="text1"/>
          <w:sz w:val="24"/>
          <w:szCs w:val="24"/>
          <w:highlight w:val="none"/>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我方完全同意招标文件规定的决定中标者的方式。</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w:t>
      </w:r>
      <w:r>
        <w:rPr>
          <w:rFonts w:hint="eastAsia" w:ascii="宋体" w:hAnsi="宋体"/>
          <w:bCs/>
          <w:color w:val="000000" w:themeColor="text1"/>
          <w:sz w:val="24"/>
          <w:szCs w:val="24"/>
          <w:highlight w:val="none"/>
          <w:lang w:eastAsia="zh-CN"/>
          <w14:textFill>
            <w14:solidFill>
              <w14:schemeClr w14:val="tx1"/>
            </w14:solidFill>
          </w14:textFill>
        </w:rPr>
        <w:t xml:space="preserve">按照</w:t>
      </w:r>
      <w:r>
        <w:rPr>
          <w:rFonts w:hint="eastAsia" w:ascii="宋体" w:hAnsi="宋体"/>
          <w:bCs/>
          <w:color w:val="000000" w:themeColor="text1"/>
          <w:sz w:val="24"/>
          <w:szCs w:val="24"/>
          <w:highlight w:val="none"/>
          <w14:textFill>
            <w14:solidFill>
              <w14:schemeClr w14:val="tx1"/>
            </w14:solidFill>
          </w14:textFill>
        </w:rPr>
        <w:t xml:space="preserve">《中华人民共和国民法典》、财政部《政府采购货物和服务招标投标管理办法》等相关法律法规</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我们已详细审核全部招标文件及其有效补充文件，我们知道必须放弃提出含糊不清或误解问题的权利。</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如果我方被确定为中标供应商，我方愿意</w:t>
      </w:r>
      <w:r>
        <w:rPr>
          <w:rFonts w:hint="eastAsia" w:ascii="宋体" w:hAnsi="宋体"/>
          <w:color w:val="000000" w:themeColor="text1"/>
          <w:sz w:val="24"/>
          <w:szCs w:val="24"/>
          <w:highlight w:val="none"/>
          <w14:textFill>
            <w14:solidFill>
              <w14:schemeClr w14:val="tx1"/>
            </w14:solidFill>
          </w14:textFill>
        </w:rPr>
        <w:t xml:space="preserve">向</w:t>
      </w:r>
      <w:r>
        <w:rPr>
          <w:rFonts w:hint="eastAsia" w:ascii="宋体" w:hAnsi="宋体"/>
          <w:bCs/>
          <w:color w:val="000000" w:themeColor="text1"/>
          <w:sz w:val="24"/>
          <w:szCs w:val="24"/>
          <w:highlight w:val="none"/>
          <w14:textFill>
            <w14:solidFill>
              <w14:schemeClr w14:val="tx1"/>
            </w14:solidFill>
          </w14:textFill>
        </w:rPr>
        <w:t xml:space="preserve">采购人交纳履约保证金。且我方如无不可抗力，又未履行招标文件、投标文件和合同条款的，一经查实，我方愿意赔偿由此而造成的一切损失，并同意接受按招标文件的相关要求对我方进行的处理。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；传真：</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；邮编：</w:t>
      </w:r>
      <w:r>
        <w:rPr>
          <w:rFonts w:hint="eastAsia" w:ascii="宋体" w:hAnsi="宋体"/>
          <w:bCs/>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w:t>
      </w:r>
      <w:r>
        <w:rPr>
          <w:rFonts w:hint="eastAsia" w:ascii="宋体" w:hAnsi="宋体"/>
          <w:bCs/>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w:t>
      </w:r>
      <w:r>
        <w:rPr>
          <w:rFonts w:hint="eastAsia" w:ascii="宋体" w:hAnsi="宋体"/>
          <w:bCs/>
          <w:color w:val="000000" w:themeColor="text1"/>
          <w:sz w:val="24"/>
          <w:szCs w:val="24"/>
          <w:highlight w:val="none"/>
          <w14:textFill>
            <w14:solidFill>
              <w14:schemeClr w14:val="tx1"/>
            </w14:solidFill>
          </w14:textFill>
        </w:rPr>
        <w:t xml:space="preserve">（盖章）：</w:t>
      </w:r>
      <w:r/>
    </w:p>
    <w:p>
      <w:pPr>
        <w:spacing w:line="360" w:lineRule="auto"/>
        <w:rPr>
          <w:b/>
          <w:color w:val="000000" w:themeColor="text1"/>
          <w:sz w:val="30"/>
          <w:szCs w:val="3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七、承诺书（给定格式）：</w:t>
      </w:r>
      <w:r/>
    </w:p>
    <w:p>
      <w:pPr>
        <w:ind w:firstLine="602"/>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（投标人名称）针</w:t>
      </w:r>
      <w:r>
        <w:rPr>
          <w:rFonts w:hint="eastAsia" w:ascii="宋体" w:hAnsi="宋体"/>
          <w:bCs/>
          <w:color w:val="000000" w:themeColor="text1"/>
          <w:sz w:val="24"/>
          <w:szCs w:val="24"/>
          <w:highlight w:val="none"/>
          <w14:textFill>
            <w14:solidFill>
              <w14:schemeClr w14:val="tx1"/>
            </w14:solidFill>
          </w14:textFill>
        </w:rPr>
        <w:t xml:space="preserve">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JSZC-320200-XWJC-G2025-0117</w:t>
      </w:r>
      <w:r>
        <w:rPr>
          <w:rFonts w:hint="eastAsia" w:ascii="宋体" w:hAnsi="宋体"/>
          <w:color w:val="000000" w:themeColor="text1"/>
          <w:sz w:val="24"/>
          <w:szCs w:val="24"/>
          <w:highlight w:val="none"/>
          <w14:textFill>
            <w14:solidFill>
              <w14:schemeClr w14:val="tx1"/>
            </w14:solidFill>
          </w14:textFill>
        </w:rPr>
        <w:t xml:space="preserve">在此做如下承诺：</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1.本公司（单位）对本项目所提供的服务符合招标文件要求；</w:t>
      </w:r>
      <w:r>
        <w:rPr>
          <w:rFonts w:hint="eastAsia" w:ascii="宋体" w:hAnsi="宋体"/>
          <w:bCs/>
          <w:color w:val="000000" w:themeColor="text1"/>
          <w:sz w:val="24"/>
          <w:szCs w:val="24"/>
          <w:highlight w:val="none"/>
          <w14:textFill>
            <w14:solidFill>
              <w14:schemeClr w14:val="tx1"/>
            </w14:solidFill>
          </w14:textFill>
        </w:rPr>
        <w:t xml:space="preserve">所提供的货物均为原厂全新合格品；</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none"/>
          <w:lang w:eastAsia="zh-CN"/>
          <w14:textFill>
            <w14:solidFill>
              <w14:schemeClr w14:val="tx1"/>
            </w14:solidFill>
          </w14:textFill>
        </w:rPr>
        <w:t xml:space="preserve">按照</w:t>
      </w:r>
      <w:r>
        <w:rPr>
          <w:rFonts w:hint="eastAsia" w:ascii="宋体"/>
          <w:bCs/>
          <w:color w:val="000000" w:themeColor="text1"/>
          <w:sz w:val="24"/>
          <w:szCs w:val="24"/>
          <w:highlight w:val="non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 xml:space="preserve">5</w:t>
      </w:r>
      <w:r>
        <w:rPr>
          <w:rFonts w:hint="eastAsia" w:ascii="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non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 xml:space="preserve">本公司（单位）所投产品将</w:t>
      </w:r>
      <w:r>
        <w:rPr>
          <w:rFonts w:hint="eastAsia" w:ascii="宋体" w:hAnsi="宋体" w:cs="宋体"/>
          <w:color w:val="000000" w:themeColor="text1"/>
          <w:sz w:val="24"/>
          <w:szCs w:val="24"/>
          <w:highlight w:val="none"/>
          <w14:textFill>
            <w14:solidFill>
              <w14:schemeClr w14:val="tx1"/>
            </w14:solidFill>
          </w14:textFill>
        </w:rPr>
        <w:t xml:space="preserve">满足招标文件要求。如采购人在</w:t>
      </w:r>
      <w:r>
        <w:rPr>
          <w:rFonts w:hint="eastAsia" w:ascii="宋体"/>
          <w:bCs/>
          <w:color w:val="000000" w:themeColor="text1"/>
          <w:sz w:val="24"/>
          <w:szCs w:val="24"/>
          <w:highlight w:val="none"/>
          <w14:textFill>
            <w14:solidFill>
              <w14:schemeClr w14:val="tx1"/>
            </w14:solidFill>
          </w14:textFill>
        </w:rPr>
        <w:t xml:space="preserve">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w:t>
      </w:r>
      <w:r>
        <w:rPr>
          <w:rFonts w:hint="eastAsia" w:ascii="宋体" w:hAnsi="宋体"/>
          <w:bCs/>
          <w:color w:val="000000" w:themeColor="text1"/>
          <w:sz w:val="24"/>
          <w:szCs w:val="24"/>
          <w:highlight w:val="none"/>
          <w14:textFill>
            <w14:solidFill>
              <w14:schemeClr w14:val="tx1"/>
            </w14:solidFill>
          </w14:textFill>
        </w:rPr>
        <w:t xml:space="preserve">（盖章）：</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20"/>
        <w:spacing w:line="480" w:lineRule="auto"/>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（注：以上内容由投标单位根据采购要求自行完善）</w:t>
      </w:r>
      <w:r/>
    </w:p>
    <w:p>
      <w:pPr>
        <w:ind w:firstLine="420"/>
        <w:spacing w:line="480" w:lineRule="auto"/>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spacing w:line="480" w:lineRule="auto"/>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ind w:firstLine="42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b/>
          <w:color w:val="000000" w:themeColor="text1"/>
          <w:sz w:val="30"/>
          <w:szCs w:val="30"/>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八、开标一览表（给定格式）：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 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JSZC-320200-XWJC-G2025-0117</w:t>
      </w:r>
      <w:r/>
    </w:p>
    <w:tbl>
      <w:tblPr>
        <w:tblStyle w:val="739"/>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黑体" w:eastAsia="黑体"/>
                <w:color w:val="000000" w:themeColor="text1"/>
                <w:sz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项目名称</w:t>
            </w:r>
            <w:r/>
          </w:p>
        </w:tc>
        <w:tc>
          <w:tcPr>
            <w:tcW w:w="3188" w:type="dxa"/>
            <w:vAlign w:val="center"/>
            <w:textDirection w:val="lrTb"/>
            <w:noWrap w:val="false"/>
          </w:tcPr>
          <w:p>
            <w:pPr>
              <w:jc w:val="center"/>
              <w:rPr>
                <w:rFonts w:ascii="黑体" w:eastAsia="黑体"/>
                <w:color w:val="000000" w:themeColor="text1"/>
                <w:sz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25"/>
              <w:jc w:val="center"/>
              <w:spacing w:line="400" w:lineRule="exact"/>
              <w:rPr>
                <w:rFonts w:hint="eastAsia" w:hAnsi="宋体"/>
                <w:bCs/>
                <w:color w:val="000000" w:themeColor="text1"/>
                <w:szCs w:val="24"/>
                <w:highlight w:val="none"/>
                <w14:textFill>
                  <w14:solidFill>
                    <w14:schemeClr w14:val="tx1"/>
                  </w14:solidFill>
                </w14:textFill>
              </w:rPr>
            </w:pPr>
            <w:r>
              <w:rPr>
                <w:rFonts w:hint="eastAsia" w:hAnsi="宋体"/>
                <w:bCs/>
                <w:color w:val="000000" w:themeColor="text1"/>
                <w:szCs w:val="24"/>
                <w:highlight w:val="none"/>
                <w:lang w:eastAsia="zh-CN"/>
                <w14:textFill>
                  <w14:solidFill>
                    <w14:schemeClr w14:val="tx1"/>
                  </w14:solidFill>
                </w14:textFill>
              </w:rPr>
              <w:t xml:space="preserve">江南大学附属医院胃肠镜主机、高清电子胃镜、高清电子肠镜项目</w:t>
            </w:r>
            <w:r/>
          </w:p>
        </w:tc>
        <w:tc>
          <w:tcPr>
            <w:tcW w:w="3188" w:type="dxa"/>
            <w:vAlign w:val="center"/>
            <w:textDirection w:val="lrTb"/>
            <w:noWrap w:val="false"/>
          </w:tcPr>
          <w:p>
            <w:pPr>
              <w:pStyle w:val="1025"/>
              <w:rPr>
                <w:rFonts w:hint="eastAsia" w:hAnsi="宋体"/>
                <w:b/>
                <w:color w:val="000000" w:themeColor="text1"/>
                <w:szCs w:val="24"/>
                <w:highlight w:val="none"/>
                <w14:textFill>
                  <w14:solidFill>
                    <w14:schemeClr w14:val="tx1"/>
                  </w14:solidFill>
                </w14:textFill>
              </w:rPr>
            </w:pPr>
            <w:r>
              <w:rPr>
                <w:rFonts w:hint="eastAsia" w:hAnsi="宋体"/>
                <w:b/>
                <w:color w:val="000000" w:themeColor="text1"/>
                <w:szCs w:val="24"/>
                <w:highlight w:val="non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投标总报价（大写）</w:t>
            </w:r>
            <w:r>
              <w:rPr>
                <w:rFonts w:hint="eastAsia" w:ascii="宋体" w:hAnsi="宋体"/>
                <w:bCs/>
                <w:color w:val="000000" w:themeColor="text1"/>
                <w:sz w:val="24"/>
                <w:szCs w:val="24"/>
                <w:highlight w:val="non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360" w:lineRule="auto"/>
        <w:rPr>
          <w:b/>
          <w:bCs/>
          <w:color w:val="000000" w:themeColor="text1"/>
          <w:sz w:val="30"/>
          <w:szCs w:val="30"/>
          <w:highlight w:val="none"/>
          <w14:textFill>
            <w14:solidFill>
              <w14:schemeClr w14:val="tx1"/>
            </w14:solidFill>
          </w14:textFill>
        </w:rPr>
      </w:pPr>
      <w:r>
        <w:rPr>
          <w:b/>
          <w:bCs/>
          <w:color w:val="000000" w:themeColor="text1"/>
          <w:sz w:val="30"/>
          <w:szCs w:val="30"/>
          <w:highlight w:val="none"/>
          <w14:textFill>
            <w14:solidFill>
              <w14:schemeClr w14:val="tx1"/>
            </w14:solidFill>
          </w14:textFill>
        </w:r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rFonts w:hint="eastAsia"/>
          <w:b/>
          <w:bCs/>
          <w:color w:val="000000" w:themeColor="text1"/>
          <w:sz w:val="30"/>
          <w:szCs w:val="30"/>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九、细目报价表（给定格式）：</w:t>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JSZC-320200-XWJC-G2025-0117</w:t>
      </w:r>
      <w:r/>
    </w:p>
    <w:tbl>
      <w:tblPr>
        <w:tblStyle w:val="739"/>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hint="eastAsia" w:asciiTheme="majorEastAsia" w:hAnsiTheme="majorEastAsia" w:eastAsiaTheme="majorEastAsia" w:cstheme="majorEastAsia"/>
                <w:color w:val="000000" w:themeColor="text1"/>
                <w:sz w:val="24"/>
                <w:szCs w:val="24"/>
                <w:highlight w:val="none"/>
                <w:u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u w:val="none"/>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themeColor="text1"/>
                <w:sz w:val="24"/>
                <w:szCs w:val="24"/>
                <w:highlight w:val="none"/>
                <w:u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u w:val="none"/>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u w:val="none"/>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生产</w:t>
            </w:r>
            <w:r/>
          </w:p>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厂家</w:t>
            </w:r>
            <w:r/>
          </w:p>
        </w:tc>
        <w:tc>
          <w:tcPr>
            <w:tcW w:w="992" w:type="dxa"/>
            <w:vAlign w:val="top"/>
            <w:textDirection w:val="lrTb"/>
            <w:noWrap w:val="false"/>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免费</w:t>
            </w:r>
            <w:r/>
          </w:p>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2" w:type="dxa"/>
            <w:vAlign w:val="top"/>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top"/>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top"/>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交货完工期： 合同签订生效后</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总报价：大写                                              小写</w:t>
            </w:r>
            <w:r/>
          </w:p>
        </w:tc>
      </w:tr>
    </w:tbl>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400" w:lineRule="exact"/>
        <w:rPr>
          <w:rFonts w:hint="eastAsia" w:ascii="宋体" w:hAnsi="宋体"/>
          <w:b/>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r>
      <w:r/>
    </w:p>
    <w:p>
      <w:pPr>
        <w:rPr>
          <w:rFonts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bCs/>
          <w:color w:val="000000" w:themeColor="text1"/>
          <w:highlight w:val="non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420"/>
        <w:spacing w:line="400" w:lineRule="exact"/>
        <w:rPr>
          <w:rFonts w:asci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2</w:t>
      </w:r>
      <w:r>
        <w:rPr>
          <w:rFonts w:hint="eastAsia" w:ascii="宋体" w:hAnsi="宋体"/>
          <w:bCs/>
          <w:color w:val="000000" w:themeColor="text1"/>
          <w:highlight w:val="none"/>
          <w14:textFill>
            <w14:solidFill>
              <w14:schemeClr w14:val="tx1"/>
            </w14:solidFill>
          </w14:textFill>
        </w:rPr>
        <w:t xml:space="preserve">）投标人应当根据“采购需求”的内容在上表中详细填写；</w:t>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 （</w:t>
      </w:r>
      <w:r>
        <w:rPr>
          <w:rFonts w:ascii="宋体" w:hAnsi="宋体"/>
          <w:bCs/>
          <w:color w:val="000000" w:themeColor="text1"/>
          <w:highlight w:val="none"/>
          <w14:textFill>
            <w14:solidFill>
              <w14:schemeClr w14:val="tx1"/>
            </w14:solidFill>
          </w14:textFill>
        </w:rPr>
        <w:t xml:space="preserve">3</w:t>
      </w:r>
      <w:r>
        <w:rPr>
          <w:rFonts w:hint="eastAsia" w:ascii="宋体" w:hAnsi="宋体"/>
          <w:bCs/>
          <w:color w:val="000000" w:themeColor="text1"/>
          <w:highlight w:val="none"/>
          <w14:textFill>
            <w14:solidFill>
              <w14:schemeClr w14:val="tx1"/>
            </w14:solidFill>
          </w14:textFill>
        </w:rPr>
        <w:t xml:space="preserve">）表格不够可自行延长。</w:t>
      </w:r>
      <w:bookmarkEnd w:id="194"/>
      <w:r/>
      <w:bookmarkEnd w:id="195"/>
      <w:r/>
      <w:bookmarkEnd w:id="196"/>
      <w:r/>
      <w:r/>
    </w:p>
    <w:p>
      <w:pPr>
        <w:rPr>
          <w:b/>
          <w:color w:val="000000" w:themeColor="text1"/>
          <w:sz w:val="30"/>
          <w:szCs w:val="30"/>
          <w:highlight w:val="none"/>
          <w14:textFill>
            <w14:solidFill>
              <w14:schemeClr w14:val="tx1"/>
            </w14:solidFill>
          </w14:textFill>
        </w:rPr>
        <w:outlineLvl w:val="0"/>
      </w:pPr>
      <w:r/>
      <w:bookmarkStart w:id="198" w:name="_Toc120614284"/>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十</w:t>
      </w:r>
      <w:r>
        <w:rPr>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JSZC-320200-XWJC-G2025-0117</w:t>
      </w:r>
      <w:r/>
    </w:p>
    <w:tbl>
      <w:tblPr>
        <w:tblStyle w:val="739"/>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黑体" w:eastAsia="黑体"/>
                <w:color w:val="000000" w:themeColor="text1"/>
                <w:sz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黑体" w:eastAsia="黑体"/>
                <w:color w:val="000000" w:themeColor="text1"/>
                <w:sz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黑体" w:eastAsia="黑体"/>
                <w:color w:val="000000" w:themeColor="text1"/>
                <w:sz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黑体" w:eastAsia="黑体"/>
                <w:color w:val="000000" w:themeColor="text1"/>
                <w:sz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bookmarkEnd w:id="186"/>
      <w:r/>
      <w:bookmarkEnd w:id="187"/>
      <w:r/>
      <w:bookmarkEnd w:id="198"/>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r>
      <w:r/>
    </w:p>
    <w:p>
      <w:pPr>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p>
    <w:p>
      <w:pPr>
        <w:rPr>
          <w:rFonts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（1）本表不得删除；</w:t>
      </w:r>
      <w:r/>
    </w:p>
    <w:p>
      <w:pPr>
        <w:rPr>
          <w:rFonts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（2）如无任何技术偏离，请于本表 “偏离说明”中注明“无偏离”；</w:t>
      </w:r>
      <w:r/>
    </w:p>
    <w:p>
      <w:pPr>
        <w:rPr>
          <w:rFonts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（3）如有技术偏离项，请于本表中列明偏离内容，如需要可自行延长，其余无偏离内容不须赘述。</w:t>
      </w:r>
      <w:r/>
    </w:p>
    <w:p>
      <w:pPr>
        <w:rPr>
          <w:rFonts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（4）投标人应当根据“采购需求”的内容在上表中逐条填写。</w:t>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rFonts w:hint="eastAsia"/>
          <w:b/>
          <w:color w:val="000000" w:themeColor="text1"/>
          <w:sz w:val="30"/>
          <w:szCs w:val="30"/>
          <w:highlight w:val="none"/>
          <w14:textFill>
            <w14:solidFill>
              <w14:schemeClr w14:val="tx1"/>
            </w14:solidFill>
          </w14:textFill>
        </w:rPr>
        <w:t xml:space="preserve">十一  《采购需求》中如有要求须提供的证明文件</w:t>
      </w:r>
      <w:r/>
    </w:p>
    <w:p>
      <w:pPr>
        <w:spacing w:line="85" w:lineRule="atLeast"/>
        <w:rPr>
          <w:rFonts w:hint="eastAsia" w:ascii="宋体" w:hAnsi="宋体" w:cs="宋体"/>
          <w:b/>
          <w:bCs/>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b/>
          <w:color w:val="000000" w:themeColor="text1"/>
          <w:sz w:val="30"/>
          <w:highlight w:val="none"/>
          <w14:textFill>
            <w14:solidFill>
              <w14:schemeClr w14:val="tx1"/>
            </w14:solidFill>
          </w14:textFill>
        </w:rPr>
        <w:t xml:space="preserve">1.</w:t>
      </w:r>
      <w:r>
        <w:rPr>
          <w:rFonts w:ascii="宋体" w:hAnsi="宋体" w:cs="宋体"/>
          <w:b/>
          <w:color w:val="000000" w:themeColor="text1"/>
          <w:sz w:val="30"/>
          <w:highlight w:val="none"/>
          <w14:textFill>
            <w14:solidFill>
              <w14:schemeClr w14:val="tx1"/>
            </w14:solidFill>
          </w14:textFill>
        </w:rPr>
        <w:t xml:space="preserve">招标文件第四章“采购需求”规定的投标人需要提供的投标产品技术支持材料和其他相关证明文件</w:t>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spacing w:line="360" w:lineRule="auto"/>
        <w:rPr>
          <w:rFonts w:hint="eastAsia" w:ascii="黑体" w:hAnsi="黑体" w:eastAsia="黑体"/>
          <w:color w:val="000000" w:themeColor="text1"/>
          <w:sz w:val="28"/>
          <w:szCs w:val="28"/>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2.</w:t>
      </w:r>
      <w:r>
        <w:rPr>
          <w:rFonts w:hint="eastAsia" w:ascii="黑体" w:hAnsi="黑体" w:eastAsia="黑体" w:cs="黑体"/>
          <w:color w:val="000000" w:themeColor="text1"/>
          <w:sz w:val="28"/>
          <w:szCs w:val="28"/>
          <w:highlight w:val="none"/>
          <w14:textFill>
            <w14:solidFill>
              <w14:schemeClr w14:val="tx1"/>
            </w14:solidFill>
          </w14:textFill>
        </w:rPr>
        <w:t xml:space="preserve">制造商出具的授权函</w:t>
      </w:r>
      <w:r>
        <w:rPr>
          <w:rFonts w:hint="eastAsia"/>
          <w:b/>
          <w:color w:val="000000" w:themeColor="text1"/>
          <w:sz w:val="30"/>
          <w:szCs w:val="30"/>
          <w:highlight w:val="none"/>
          <w14:textFill>
            <w14:solidFill>
              <w14:schemeClr w14:val="tx1"/>
            </w14:solidFill>
          </w14:textFill>
        </w:rPr>
        <w:t xml:space="preserve">（给定格式）：</w:t>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jc w:val="center"/>
        <w:spacing w:line="360" w:lineRule="auto"/>
        <w:rPr>
          <w:rFonts w:hint="eastAsia" w:ascii="黑体" w:hAnsi="黑体" w:eastAsia="黑体"/>
          <w:color w:val="000000" w:themeColor="text1"/>
          <w:sz w:val="28"/>
          <w:szCs w:val="28"/>
          <w:highlight w:val="none"/>
          <w14:textFill>
            <w14:solidFill>
              <w14:schemeClr w14:val="tx1"/>
            </w14:solidFill>
          </w14:textFill>
        </w:rPr>
        <w:outlineLvl w:val="0"/>
      </w:pPr>
      <w:r>
        <w:rPr>
          <w:rFonts w:hint="eastAsia" w:ascii="黑体" w:hAnsi="黑体" w:eastAsia="黑体" w:cs="黑体"/>
          <w:color w:val="000000" w:themeColor="text1"/>
          <w:sz w:val="28"/>
          <w:szCs w:val="28"/>
          <w:highlight w:val="none"/>
          <w14:textFill>
            <w14:solidFill>
              <w14:schemeClr w14:val="tx1"/>
            </w14:solidFill>
          </w14:textFill>
        </w:rPr>
        <w:t xml:space="preserve">制造商出具的授权函</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致：无锡市卫生健康综合服务中心</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我们（</w:t>
      </w:r>
      <w:r>
        <w:rPr>
          <w:rFonts w:hint="eastAsia" w:ascii="宋体" w:cs="宋体"/>
          <w:color w:val="000000" w:themeColor="text1"/>
          <w:sz w:val="24"/>
          <w:szCs w:val="24"/>
          <w:highlight w:val="none"/>
          <w:u w:val="single"/>
          <w14:textFill>
            <w14:solidFill>
              <w14:schemeClr w14:val="tx1"/>
            </w14:solidFill>
          </w14:textFill>
        </w:rPr>
        <w:t xml:space="preserve">制造商名称</w:t>
      </w:r>
      <w:r>
        <w:rPr>
          <w:rFonts w:hint="eastAsia" w:ascii="宋体" w:cs="宋体"/>
          <w:color w:val="000000" w:themeColor="text1"/>
          <w:sz w:val="24"/>
          <w:szCs w:val="24"/>
          <w:highlight w:val="none"/>
          <w14:textFill>
            <w14:solidFill>
              <w14:schemeClr w14:val="tx1"/>
            </w14:solidFill>
          </w14:textFill>
        </w:rPr>
        <w:t xml:space="preserve">）根据（</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none"/>
          <w:u w:val="single"/>
          <w14:textFill>
            <w14:solidFill>
              <w14:schemeClr w14:val="tx1"/>
            </w14:solidFill>
          </w14:textFill>
        </w:rPr>
        <w:t xml:space="preserve">制造商地址</w:t>
      </w:r>
      <w:r>
        <w:rPr>
          <w:rFonts w:hint="eastAsia" w:ascii="宋体" w:cs="宋体"/>
          <w:color w:val="000000" w:themeColor="text1"/>
          <w:sz w:val="24"/>
          <w:szCs w:val="24"/>
          <w:highlight w:val="none"/>
          <w14:textFill>
            <w14:solidFill>
              <w14:schemeClr w14:val="tx1"/>
            </w14:solidFill>
          </w14:textFill>
        </w:rPr>
        <w:t xml:space="preserve">）。兹指派按（</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none"/>
          <w:u w:val="single"/>
          <w14:textFill>
            <w14:solidFill>
              <w14:schemeClr w14:val="tx1"/>
            </w14:solidFill>
          </w14:textFill>
        </w:rPr>
        <w:t xml:space="preserve">标供应商地址</w:t>
      </w:r>
      <w:r>
        <w:rPr>
          <w:rFonts w:hint="eastAsia" w:ascii="宋体" w:cs="宋体"/>
          <w:color w:val="000000" w:themeColor="text1"/>
          <w:sz w:val="24"/>
          <w:szCs w:val="24"/>
          <w:highlight w:val="none"/>
          <w14:textFill>
            <w14:solidFill>
              <w14:schemeClr w14:val="tx1"/>
            </w14:solidFill>
          </w14:textFill>
        </w:rPr>
        <w:t xml:space="preserve">）的（</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1</w:t>
      </w:r>
      <w:r>
        <w:rPr>
          <w:rFonts w:hint="eastAsia" w:ascii="宋体" w:cs="宋体"/>
          <w:color w:val="000000" w:themeColor="text1"/>
          <w:sz w:val="24"/>
          <w:szCs w:val="24"/>
          <w:highlight w:val="non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none"/>
          <w:u w:val="single"/>
          <w:lang w:eastAsia="zh-CN"/>
          <w14:textFill>
            <w14:solidFill>
              <w14:schemeClr w14:val="tx1"/>
            </w14:solidFill>
          </w14:textFill>
        </w:rPr>
        <w:t xml:space="preserve">江南大学附属医院胃肠镜主机、高清电子胃镜、高清电子肠镜项目</w:t>
      </w:r>
      <w:r>
        <w:rPr>
          <w:rFonts w:hint="eastAsia" w:ascii="宋体" w:cs="宋体"/>
          <w:color w:val="000000" w:themeColor="text1"/>
          <w:sz w:val="24"/>
          <w:szCs w:val="24"/>
          <w:highlight w:val="none"/>
          <w14:textFill>
            <w14:solidFill>
              <w14:schemeClr w14:val="tx1"/>
            </w14:solidFill>
          </w14:textFill>
        </w:rPr>
        <w:t xml:space="preserve">（采购编号</w:t>
      </w:r>
      <w:r>
        <w:rPr>
          <w:rFonts w:hint="eastAsia" w:ascii="宋体" w:hAnsi="宋体"/>
          <w:color w:val="000000" w:themeColor="text1"/>
          <w:sz w:val="24"/>
          <w:szCs w:val="24"/>
          <w:highlight w:val="none"/>
          <w:u w:val="single"/>
          <w:lang w:eastAsia="zh-CN"/>
          <w14:textFill>
            <w14:solidFill>
              <w14:schemeClr w14:val="tx1"/>
            </w14:solidFill>
          </w14:textFill>
        </w:rPr>
        <w:t xml:space="preserve">JSZC-320200-XWJC-G2025-0117</w:t>
      </w:r>
      <w:r>
        <w:rPr>
          <w:rFonts w:hint="eastAsia" w:ascii="宋体" w:cs="宋体"/>
          <w:color w:val="000000" w:themeColor="text1"/>
          <w:sz w:val="24"/>
          <w:szCs w:val="24"/>
          <w:highlight w:val="non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2</w:t>
      </w:r>
      <w:r>
        <w:rPr>
          <w:rFonts w:hint="eastAsia" w:ascii="宋体" w:cs="宋体"/>
          <w:color w:val="000000" w:themeColor="text1"/>
          <w:sz w:val="24"/>
          <w:szCs w:val="24"/>
          <w:highlight w:val="non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3</w:t>
      </w:r>
      <w:r>
        <w:rPr>
          <w:rFonts w:hint="eastAsia" w:ascii="宋体" w:cs="宋体"/>
          <w:color w:val="000000" w:themeColor="text1"/>
          <w:sz w:val="24"/>
          <w:szCs w:val="24"/>
          <w:highlight w:val="none"/>
          <w14:textFill>
            <w14:solidFill>
              <w14:schemeClr w14:val="tx1"/>
            </w14:solidFill>
          </w14:textFill>
        </w:rPr>
        <w:t xml:space="preserve">、我方兹授予（投标供应商名称）全权办理和履行上述我方为完成上述各点所</w:t>
      </w:r>
      <w:r>
        <w:rPr>
          <w:rFonts w:hint="eastAsia" w:ascii="宋体" w:cs="宋体"/>
          <w:color w:val="000000" w:themeColor="text1"/>
          <w:sz w:val="24"/>
          <w:szCs w:val="24"/>
          <w:highlight w:val="none"/>
          <w:lang w:eastAsia="zh-CN"/>
          <w14:textFill>
            <w14:solidFill>
              <w14:schemeClr w14:val="tx1"/>
            </w14:solidFill>
          </w14:textFill>
        </w:rPr>
        <w:t xml:space="preserve">必需的</w:t>
      </w:r>
      <w:r>
        <w:rPr>
          <w:rFonts w:hint="eastAsia" w:ascii="宋体" w:cs="宋体"/>
          <w:color w:val="000000" w:themeColor="text1"/>
          <w:sz w:val="24"/>
          <w:szCs w:val="24"/>
          <w:highlight w:val="none"/>
          <w14:textFill>
            <w14:solidFill>
              <w14:schemeClr w14:val="tx1"/>
            </w14:solidFill>
          </w14:textFill>
        </w:rPr>
        <w:t xml:space="preserve">事宜，且有替换或撤销或另行授权的权利。兹确认（投标供应商名称）或正式授权代表依此合法办理一切事宜。</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我方于</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w:t>
      </w:r>
      <w:r>
        <w:rPr>
          <w:rFonts w:hint="eastAsia" w:ascii="宋体" w:cs="宋体"/>
          <w:color w:val="000000" w:themeColor="text1"/>
          <w:sz w:val="24"/>
          <w:szCs w:val="24"/>
          <w:highlight w:val="none"/>
          <w14:textFill>
            <w14:solidFill>
              <w14:schemeClr w14:val="tx1"/>
            </w14:solidFill>
          </w14:textFill>
        </w:rPr>
        <w:t xml:space="preserve">签署本文件，（投标供应商名称）于 </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w:t>
      </w:r>
      <w:r>
        <w:rPr>
          <w:rFonts w:hint="eastAsia" w:ascii="宋体" w:cs="宋体"/>
          <w:color w:val="000000" w:themeColor="text1"/>
          <w:sz w:val="24"/>
          <w:szCs w:val="24"/>
          <w:highlight w:val="none"/>
          <w14:textFill>
            <w14:solidFill>
              <w14:schemeClr w14:val="tx1"/>
            </w14:solidFill>
          </w14:textFill>
        </w:rPr>
        <w:t xml:space="preserve">接受此件，以此为证。</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ind w:firstLine="4560"/>
        <w:spacing w:line="360" w:lineRule="auto"/>
        <w:rPr>
          <w:rFonts w:ascii="宋体" w:cs="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姓名、职务和部门：</w:t>
      </w:r>
      <w:r/>
    </w:p>
    <w:p>
      <w:pPr>
        <w:ind w:firstLine="756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日期：</w:t>
      </w:r>
      <w:r/>
    </w:p>
    <w:p>
      <w:pPr>
        <w:pStyle w:val="7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before="5"/>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b/>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3.质量保证及售后服务承诺书</w:t>
      </w:r>
      <w:r>
        <w:rPr>
          <w:rFonts w:hint="eastAsia"/>
          <w:b/>
          <w:color w:val="000000" w:themeColor="text1"/>
          <w:sz w:val="30"/>
          <w:szCs w:val="30"/>
          <w:highlight w:val="none"/>
          <w14:textFill>
            <w14:solidFill>
              <w14:schemeClr w14:val="tx1"/>
            </w14:solidFill>
          </w14:textFill>
        </w:rPr>
        <w:t xml:space="preserve">（给定格式）：</w:t>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rPr>
        <w:outlineLvl w:val="0"/>
      </w:pPr>
      <w:r>
        <w:rPr>
          <w:rFonts w:hint="eastAsia" w:ascii="黑体" w:hAnsi="黑体" w:eastAsia="黑体" w:cs="黑体"/>
          <w:color w:val="000000" w:themeColor="text1"/>
          <w:sz w:val="28"/>
          <w:szCs w:val="28"/>
          <w:highlight w:val="none"/>
          <w14:textFill>
            <w14:solidFill>
              <w14:schemeClr w14:val="tx1"/>
            </w14:solidFill>
          </w14:textFill>
        </w:rPr>
      </w:r>
      <w:r/>
    </w:p>
    <w:p>
      <w:pPr>
        <w:spacing w:line="480" w:lineRule="auto"/>
        <w:rPr>
          <w:rFonts w:ascii="宋体"/>
          <w:b/>
          <w:bCs/>
          <w:color w:val="000000" w:themeColor="text1"/>
          <w:sz w:val="24"/>
          <w:szCs w:val="24"/>
          <w:highlight w:val="none"/>
          <w14:textFill>
            <w14:solidFill>
              <w14:schemeClr w14:val="tx1"/>
            </w14:solidFill>
          </w14:textFill>
        </w:rPr>
      </w:pPr>
      <w:r>
        <w:rPr>
          <w:rFonts w:ascii="宋体"/>
          <w:b/>
          <w:bCs/>
          <w:color w:val="000000" w:themeColor="text1"/>
          <w:sz w:val="24"/>
          <w:szCs w:val="24"/>
          <w:highlight w:val="non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我们</w:t>
      </w:r>
      <w:r>
        <w:rPr>
          <w:rFonts w:hint="eastAsia" w:ascii="宋体"/>
          <w:bCs/>
          <w:color w:val="000000" w:themeColor="text1"/>
          <w:sz w:val="24"/>
          <w:szCs w:val="24"/>
          <w:highlight w:val="none"/>
          <w:u w:val="single"/>
          <w14:textFill>
            <w14:solidFill>
              <w14:schemeClr w14:val="tx1"/>
            </w14:solidFill>
          </w14:textFill>
        </w:rPr>
        <w:t xml:space="preserve">（制造厂商）</w:t>
      </w:r>
      <w:r>
        <w:rPr>
          <w:rFonts w:hint="eastAsia" w:ascii="宋体"/>
          <w:bCs/>
          <w:color w:val="000000" w:themeColor="text1"/>
          <w:sz w:val="24"/>
          <w:szCs w:val="24"/>
          <w:highlight w:val="none"/>
          <w14:textFill>
            <w14:solidFill>
              <w14:schemeClr w14:val="tx1"/>
            </w14:solidFill>
          </w14:textFill>
        </w:rPr>
        <w:t xml:space="preserve">郑重承诺，保证</w:t>
      </w:r>
      <w:r>
        <w:rPr>
          <w:rFonts w:hint="eastAsia" w:ascii="宋体"/>
          <w:bCs/>
          <w:color w:val="000000" w:themeColor="text1"/>
          <w:sz w:val="24"/>
          <w:szCs w:val="24"/>
          <w:highlight w:val="none"/>
          <w:u w:val="single"/>
          <w14:textFill>
            <w14:solidFill>
              <w14:schemeClr w14:val="tx1"/>
            </w14:solidFill>
          </w14:textFill>
        </w:rPr>
        <w:t xml:space="preserve">（投标供应商）</w:t>
      </w:r>
      <w:r>
        <w:rPr>
          <w:rFonts w:hint="eastAsia" w:ascii="宋体"/>
          <w:bCs/>
          <w:color w:val="000000" w:themeColor="text1"/>
          <w:sz w:val="24"/>
          <w:szCs w:val="24"/>
          <w:highlight w:val="non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我方于</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日签署本文件，（投标供应商）于</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日接受此件，以此为证。</w:t>
      </w:r>
      <w:r/>
    </w:p>
    <w:p>
      <w:pP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                                  制造厂商（盖章）：</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                                  投标人名称（盖章）：</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                                  日期：</w:t>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hint="eastAsia"/>
          <w:b/>
          <w:color w:val="000000" w:themeColor="text1"/>
          <w:sz w:val="30"/>
          <w:szCs w:val="30"/>
          <w:highlight w:val="none"/>
          <w14:textFill>
            <w14:solidFill>
              <w14:schemeClr w14:val="tx1"/>
            </w14:solidFill>
          </w14:textFill>
        </w:rPr>
        <w:outlineLvl w:val="0"/>
      </w:pPr>
      <w:r>
        <w:rPr>
          <w:rFonts w:hint="eastAsia"/>
          <w:b/>
          <w:color w:val="000000" w:themeColor="text1"/>
          <w:sz w:val="30"/>
          <w:szCs w:val="30"/>
          <w:highlight w:val="none"/>
          <w14:textFill>
            <w14:solidFill>
              <w14:schemeClr w14:val="tx1"/>
            </w14:solidFill>
          </w14:textFill>
        </w:rPr>
        <w:t xml:space="preserve">4.</w:t>
      </w:r>
      <w:r>
        <w:rPr>
          <w:rFonts w:hint="eastAsia"/>
          <w:b/>
          <w:color w:val="000000" w:themeColor="text1"/>
          <w:sz w:val="30"/>
          <w:szCs w:val="30"/>
          <w:highlight w:val="none"/>
          <w:lang w:val="en-US" w:eastAsia="zh-CN"/>
          <w14:textFill>
            <w14:solidFill>
              <w14:schemeClr w14:val="tx1"/>
            </w14:solidFill>
          </w14:textFill>
        </w:rPr>
        <w:t xml:space="preserve">耗材易耗品及维修配件明细表</w:t>
      </w:r>
      <w:r>
        <w:rPr>
          <w:rFonts w:hint="eastAsia"/>
          <w:b/>
          <w:color w:val="000000" w:themeColor="text1"/>
          <w:sz w:val="30"/>
          <w:szCs w:val="30"/>
          <w:highlight w:val="none"/>
          <w14:textFill>
            <w14:solidFill>
              <w14:schemeClr w14:val="tx1"/>
            </w14:solidFill>
          </w14:textFill>
        </w:rPr>
        <w:t xml:space="preserve">（给定格式）：</w:t>
      </w:r>
      <w:r/>
    </w:p>
    <w:p>
      <w:pPr>
        <w:ind w:firstLine="490"/>
        <w:jc w:val="cente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ind w:firstLine="490"/>
        <w:jc w:val="cente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jc w:val="center"/>
        <w:spacing w:line="360" w:lineRule="auto"/>
        <w:rPr>
          <w:rFonts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lang w:val="en-US" w:eastAsia="zh-CN"/>
          <w14:textFill>
            <w14:solidFill>
              <w14:schemeClr w14:val="tx1"/>
            </w14:solidFill>
          </w14:textFill>
        </w:rPr>
        <w:t xml:space="preserve">耗材易耗品及维修配件明细表</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bl>
      <w:tblPr>
        <w:tblStyle w:val="778"/>
        <w:tblW w:w="47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2"/>
        <w:gridCol w:w="1284"/>
        <w:gridCol w:w="993"/>
        <w:gridCol w:w="1006"/>
        <w:gridCol w:w="1066"/>
        <w:gridCol w:w="712"/>
        <w:gridCol w:w="1012"/>
        <w:gridCol w:w="1232"/>
        <w:gridCol w:w="1307"/>
      </w:tblGrid>
      <w:tr>
        <w:trPr>
          <w:trHeight w:val="297"/>
        </w:trPr>
        <w:tc>
          <w:tcPr>
            <w:tcW w:w="521" w:type="pct"/>
            <w:textDirection w:val="lrTb"/>
            <w:noWrap w:val="false"/>
          </w:tcPr>
          <w:p>
            <w:pPr>
              <w:jc w:val="center"/>
              <w:rPr>
                <w:rFonts w:hint="eastAsia" w:ascii="黑体" w:hAnsi="华文中宋" w:eastAsia="黑体"/>
                <w:bCs/>
                <w:color w:val="000000" w:themeColor="text1"/>
                <w:sz w:val="24"/>
                <w:szCs w:val="24"/>
                <w:highlight w:val="none"/>
                <w14:textFill>
                  <w14:solidFill>
                    <w14:schemeClr w14:val="tx1"/>
                  </w14:solidFill>
                </w14:textFill>
              </w:rPr>
            </w:pPr>
            <w:r>
              <w:rPr>
                <w:rFonts w:hint="eastAsia" w:ascii="黑体" w:hAnsi="华文中宋" w:eastAsia="黑体"/>
                <w:bCs/>
                <w:color w:val="000000" w:themeColor="text1"/>
                <w:sz w:val="24"/>
                <w:szCs w:val="24"/>
                <w:highlight w:val="none"/>
                <w14:textFill>
                  <w14:solidFill>
                    <w14:schemeClr w14:val="tx1"/>
                  </w14:solidFill>
                </w14:textFill>
              </w:rPr>
              <w:t xml:space="preserve">序号</w:t>
            </w:r>
            <w:r/>
          </w:p>
        </w:tc>
        <w:tc>
          <w:tcPr>
            <w:tcW w:w="667" w:type="pct"/>
            <w:textDirection w:val="lrTb"/>
            <w:noWrap w:val="false"/>
          </w:tcPr>
          <w:p>
            <w:pPr>
              <w:jc w:val="center"/>
              <w:rPr>
                <w:rFonts w:hint="eastAsia" w:ascii="黑体" w:hAnsi="华文中宋" w:eastAsia="黑体"/>
                <w:bCs/>
                <w:color w:val="000000" w:themeColor="text1"/>
                <w:sz w:val="24"/>
                <w:szCs w:val="24"/>
                <w:highlight w:val="none"/>
                <w:lang w:eastAsia="zh-CN"/>
                <w14:textFill>
                  <w14:solidFill>
                    <w14:schemeClr w14:val="tx1"/>
                  </w14:solidFill>
                </w14:textFill>
              </w:rPr>
            </w:pPr>
            <w:r>
              <w:rPr>
                <w:rFonts w:hint="eastAsia" w:ascii="黑体" w:hAnsi="华文中宋" w:eastAsia="黑体"/>
                <w:bCs/>
                <w:color w:val="000000" w:themeColor="text1"/>
                <w:sz w:val="24"/>
                <w:szCs w:val="24"/>
                <w:highlight w:val="none"/>
                <w:lang w:val="en-US" w:eastAsia="zh-CN"/>
                <w14:textFill>
                  <w14:solidFill>
                    <w14:schemeClr w14:val="tx1"/>
                  </w14:solidFill>
                </w14:textFill>
              </w:rPr>
              <w:t xml:space="preserve">配件名称</w:t>
            </w:r>
            <w:r/>
          </w:p>
        </w:tc>
        <w:tc>
          <w:tcPr>
            <w:tcW w:w="516" w:type="pct"/>
            <w:textDirection w:val="lrTb"/>
            <w:noWrap w:val="false"/>
          </w:tcPr>
          <w:p>
            <w:pPr>
              <w:jc w:val="center"/>
              <w:rPr>
                <w:rFonts w:hint="eastAsia" w:ascii="黑体" w:hAnsi="华文中宋" w:eastAsia="黑体"/>
                <w:bCs/>
                <w:color w:val="000000" w:themeColor="text1"/>
                <w:sz w:val="24"/>
                <w:szCs w:val="24"/>
                <w:highlight w:val="none"/>
                <w:lang w:eastAsia="zh-CN"/>
                <w14:textFill>
                  <w14:solidFill>
                    <w14:schemeClr w14:val="tx1"/>
                  </w14:solidFill>
                </w14:textFill>
              </w:rPr>
            </w:pPr>
            <w:r>
              <w:rPr>
                <w:rFonts w:hint="eastAsia" w:ascii="黑体" w:hAnsi="华文中宋" w:eastAsia="黑体"/>
                <w:bCs/>
                <w:color w:val="000000" w:themeColor="text1"/>
                <w:sz w:val="24"/>
                <w:szCs w:val="24"/>
                <w:highlight w:val="none"/>
                <w:lang w:val="en-US" w:eastAsia="zh-CN"/>
                <w14:textFill>
                  <w14:solidFill>
                    <w14:schemeClr w14:val="tx1"/>
                  </w14:solidFill>
                </w14:textFill>
              </w:rPr>
              <w:t xml:space="preserve">品牌</w:t>
            </w:r>
            <w:r/>
          </w:p>
        </w:tc>
        <w:tc>
          <w:tcPr>
            <w:tcW w:w="523" w:type="pct"/>
            <w:textDirection w:val="lrTb"/>
            <w:noWrap w:val="false"/>
          </w:tcPr>
          <w:p>
            <w:pPr>
              <w:jc w:val="center"/>
              <w:rPr>
                <w:rFonts w:hint="eastAsia" w:ascii="黑体" w:hAnsi="华文中宋" w:eastAsia="黑体"/>
                <w:bCs/>
                <w:color w:val="000000" w:themeColor="text1"/>
                <w:sz w:val="24"/>
                <w:szCs w:val="24"/>
                <w:highlight w:val="none"/>
                <w:lang w:eastAsia="zh-CN"/>
                <w14:textFill>
                  <w14:solidFill>
                    <w14:schemeClr w14:val="tx1"/>
                  </w14:solidFill>
                </w14:textFill>
              </w:rPr>
            </w:pPr>
            <w:r>
              <w:rPr>
                <w:rFonts w:hint="eastAsia" w:ascii="黑体" w:hAnsi="华文中宋" w:eastAsia="黑体"/>
                <w:bCs/>
                <w:color w:val="000000" w:themeColor="text1"/>
                <w:sz w:val="24"/>
                <w:szCs w:val="24"/>
                <w:highlight w:val="none"/>
                <w:lang w:val="en-US" w:eastAsia="zh-CN"/>
                <w14:textFill>
                  <w14:solidFill>
                    <w14:schemeClr w14:val="tx1"/>
                  </w14:solidFill>
                </w14:textFill>
              </w:rPr>
              <w:t xml:space="preserve">型号</w:t>
            </w:r>
            <w:r/>
          </w:p>
        </w:tc>
        <w:tc>
          <w:tcPr>
            <w:tcW w:w="554" w:type="pct"/>
            <w:textDirection w:val="lrTb"/>
            <w:noWrap w:val="false"/>
          </w:tcPr>
          <w:p>
            <w:pPr>
              <w:jc w:val="center"/>
              <w:rPr>
                <w:rFonts w:hint="eastAsia" w:ascii="黑体" w:hAnsi="华文中宋" w:eastAsia="黑体"/>
                <w:bCs/>
                <w:color w:val="000000" w:themeColor="text1"/>
                <w:sz w:val="24"/>
                <w:szCs w:val="24"/>
                <w:highlight w:val="none"/>
                <w:lang w:eastAsia="zh-CN"/>
                <w14:textFill>
                  <w14:solidFill>
                    <w14:schemeClr w14:val="tx1"/>
                  </w14:solidFill>
                </w14:textFill>
              </w:rPr>
            </w:pPr>
            <w:r>
              <w:rPr>
                <w:rFonts w:hint="eastAsia" w:ascii="黑体" w:hAnsi="华文中宋" w:eastAsia="黑体"/>
                <w:bCs/>
                <w:color w:val="000000" w:themeColor="text1"/>
                <w:sz w:val="24"/>
                <w:szCs w:val="24"/>
                <w:highlight w:val="none"/>
                <w:lang w:val="en-US" w:eastAsia="zh-CN"/>
                <w14:textFill>
                  <w14:solidFill>
                    <w14:schemeClr w14:val="tx1"/>
                  </w14:solidFill>
                </w14:textFill>
              </w:rPr>
              <w:t xml:space="preserve">规格</w:t>
            </w:r>
            <w:r/>
          </w:p>
        </w:tc>
        <w:tc>
          <w:tcPr>
            <w:tcW w:w="370" w:type="pct"/>
            <w:textDirection w:val="lrTb"/>
            <w:noWrap w:val="false"/>
          </w:tcPr>
          <w:p>
            <w:pPr>
              <w:jc w:val="center"/>
              <w:rPr>
                <w:rFonts w:hint="eastAsia" w:ascii="黑体" w:hAnsi="华文中宋" w:eastAsia="黑体"/>
                <w:bCs/>
                <w:color w:val="000000" w:themeColor="text1"/>
                <w:sz w:val="24"/>
                <w:szCs w:val="24"/>
                <w:highlight w:val="none"/>
                <w:lang w:eastAsia="zh-CN"/>
                <w14:textFill>
                  <w14:solidFill>
                    <w14:schemeClr w14:val="tx1"/>
                  </w14:solidFill>
                </w14:textFill>
              </w:rPr>
            </w:pPr>
            <w:r>
              <w:rPr>
                <w:rFonts w:hint="eastAsia" w:ascii="黑体" w:hAnsi="华文中宋" w:eastAsia="黑体"/>
                <w:bCs/>
                <w:color w:val="000000" w:themeColor="text1"/>
                <w:sz w:val="24"/>
                <w:szCs w:val="24"/>
                <w:highlight w:val="none"/>
                <w:lang w:val="en-US" w:eastAsia="zh-CN"/>
                <w14:textFill>
                  <w14:solidFill>
                    <w14:schemeClr w14:val="tx1"/>
                  </w14:solidFill>
                </w14:textFill>
              </w:rPr>
              <w:t xml:space="preserve">单位</w:t>
            </w:r>
            <w:r/>
          </w:p>
        </w:tc>
        <w:tc>
          <w:tcPr>
            <w:tcW w:w="526" w:type="pct"/>
            <w:textDirection w:val="lrTb"/>
            <w:noWrap w:val="false"/>
          </w:tcPr>
          <w:p>
            <w:pPr>
              <w:jc w:val="center"/>
              <w:rPr>
                <w:rFonts w:hint="default" w:ascii="黑体" w:hAnsi="华文中宋" w:eastAsia="黑体"/>
                <w:bCs/>
                <w:color w:val="000000" w:themeColor="text1"/>
                <w:sz w:val="24"/>
                <w:szCs w:val="24"/>
                <w:highlight w:val="none"/>
                <w:lang w:val="en-US" w:eastAsia="zh-CN"/>
                <w14:textFill>
                  <w14:solidFill>
                    <w14:schemeClr w14:val="tx1"/>
                  </w14:solidFill>
                </w14:textFill>
              </w:rPr>
            </w:pPr>
            <w:r>
              <w:rPr>
                <w:rFonts w:hint="eastAsia" w:ascii="黑体" w:hAnsi="华文中宋" w:eastAsia="黑体"/>
                <w:bCs/>
                <w:color w:val="000000" w:themeColor="text1"/>
                <w:sz w:val="24"/>
                <w:szCs w:val="24"/>
                <w:highlight w:val="none"/>
                <w:lang w:val="en-US" w:eastAsia="zh-CN"/>
                <w14:textFill>
                  <w14:solidFill>
                    <w14:schemeClr w14:val="tx1"/>
                  </w14:solidFill>
                </w14:textFill>
              </w:rPr>
              <w:t xml:space="preserve">中标产品编码</w:t>
            </w:r>
            <w:r/>
          </w:p>
        </w:tc>
        <w:tc>
          <w:tcPr>
            <w:tcW w:w="640" w:type="pct"/>
            <w:textDirection w:val="lrTb"/>
            <w:noWrap w:val="false"/>
          </w:tcPr>
          <w:p>
            <w:pPr>
              <w:jc w:val="center"/>
              <w:rPr>
                <w:rFonts w:hint="eastAsia" w:ascii="黑体" w:hAnsi="华文中宋" w:eastAsia="黑体"/>
                <w:bCs/>
                <w:color w:val="000000" w:themeColor="text1"/>
                <w:sz w:val="24"/>
                <w:szCs w:val="24"/>
                <w:highlight w:val="none"/>
                <w:lang w:eastAsia="zh-CN"/>
                <w14:textFill>
                  <w14:solidFill>
                    <w14:schemeClr w14:val="tx1"/>
                  </w14:solidFill>
                </w14:textFill>
              </w:rPr>
            </w:pPr>
            <w:r>
              <w:rPr>
                <w:rFonts w:hint="eastAsia" w:ascii="黑体" w:hAnsi="华文中宋" w:eastAsia="黑体"/>
                <w:bCs/>
                <w:color w:val="000000" w:themeColor="text1"/>
                <w:sz w:val="24"/>
                <w:szCs w:val="24"/>
                <w:highlight w:val="none"/>
                <w:lang w:val="en-US" w:eastAsia="zh-CN"/>
                <w14:textFill>
                  <w14:solidFill>
                    <w14:schemeClr w14:val="tx1"/>
                  </w14:solidFill>
                </w14:textFill>
              </w:rPr>
              <w:t xml:space="preserve">中标价格</w:t>
            </w:r>
            <w:r/>
          </w:p>
        </w:tc>
        <w:tc>
          <w:tcPr>
            <w:tcW w:w="679" w:type="pct"/>
            <w:textDirection w:val="lrTb"/>
            <w:noWrap w:val="false"/>
          </w:tcPr>
          <w:p>
            <w:pPr>
              <w:jc w:val="center"/>
              <w:rPr>
                <w:rFonts w:hint="eastAsia" w:ascii="黑体" w:hAnsi="华文中宋" w:eastAsia="黑体"/>
                <w:bCs/>
                <w:color w:val="000000" w:themeColor="text1"/>
                <w:sz w:val="24"/>
                <w:szCs w:val="24"/>
                <w:highlight w:val="none"/>
                <w:lang w:val="en-US" w:eastAsia="zh-CN"/>
                <w14:textFill>
                  <w14:solidFill>
                    <w14:schemeClr w14:val="tx1"/>
                  </w14:solidFill>
                </w14:textFill>
              </w:rPr>
            </w:pPr>
            <w:r>
              <w:rPr>
                <w:rFonts w:hint="eastAsia" w:ascii="黑体" w:hAnsi="华文中宋" w:eastAsia="黑体"/>
                <w:bCs/>
                <w:color w:val="000000" w:themeColor="text1"/>
                <w:sz w:val="24"/>
                <w:szCs w:val="24"/>
                <w:highlight w:val="none"/>
                <w:lang w:val="en-US" w:eastAsia="zh-CN"/>
                <w14:textFill>
                  <w14:solidFill>
                    <w14:schemeClr w14:val="tx1"/>
                  </w14:solidFill>
                </w14:textFill>
              </w:rPr>
              <w:t xml:space="preserve">成交价格</w:t>
            </w:r>
            <w:r/>
          </w:p>
        </w:tc>
      </w:tr>
      <w:tr>
        <w:trPr/>
        <w:tc>
          <w:tcPr>
            <w:tcW w:w="521"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1</w:t>
            </w:r>
            <w:r/>
          </w:p>
        </w:tc>
        <w:tc>
          <w:tcPr>
            <w:tcW w:w="667"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516"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523"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554"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370"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526"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640"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679"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r>
      <w:tr>
        <w:trPr/>
        <w:tc>
          <w:tcPr>
            <w:tcW w:w="521"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2</w:t>
            </w:r>
            <w:r/>
          </w:p>
        </w:tc>
        <w:tc>
          <w:tcPr>
            <w:tcW w:w="667"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516"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523"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554"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370"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526"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640"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679"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r>
      <w:tr>
        <w:trPr/>
        <w:tc>
          <w:tcPr>
            <w:tcW w:w="521"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3</w:t>
            </w:r>
            <w:r/>
          </w:p>
        </w:tc>
        <w:tc>
          <w:tcPr>
            <w:tcW w:w="667"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516"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523"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554"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370"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526"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640"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c>
          <w:tcPr>
            <w:tcW w:w="679" w:type="pct"/>
            <w:textDirection w:val="lrTb"/>
            <w:noWrap w:val="false"/>
          </w:tcPr>
          <w:p>
            <w:pPr>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tc>
      </w:tr>
    </w:tbl>
    <w:p>
      <w:pPr>
        <w:spacing w:before="5"/>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spacing w:before="5"/>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spacing w:before="5"/>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ind w:firstLine="1502"/>
        <w:rPr>
          <w:rFonts w:ascii="黑体" w:eastAsia="黑体" w:cs="黑体"/>
          <w:color w:val="000000" w:themeColor="text1"/>
          <w:sz w:val="28"/>
          <w:szCs w:val="28"/>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法定代表人或法定代表人授权代表CA签章：</w:t>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hint="eastAsia" w:ascii="黑体" w:eastAsia="黑体" w:cs="黑体"/>
          <w:color w:val="000000" w:themeColor="text1"/>
          <w:sz w:val="28"/>
          <w:szCs w:val="28"/>
          <w:highlight w:val="none"/>
          <w14:textFill>
            <w14:solidFill>
              <w14:schemeClr w14:val="tx1"/>
            </w14:solidFill>
          </w14:textFill>
        </w:rPr>
        <w:t xml:space="preserve">5.</w:t>
      </w:r>
      <w:r>
        <w:rPr>
          <w:rFonts w:hint="eastAsia"/>
          <w:b/>
          <w:color w:val="000000" w:themeColor="text1"/>
          <w:sz w:val="30"/>
          <w:szCs w:val="30"/>
          <w:highlight w:val="none"/>
          <w14:textFill>
            <w14:solidFill>
              <w14:schemeClr w14:val="tx1"/>
            </w14:solidFill>
          </w14:textFill>
        </w:rPr>
        <w:t xml:space="preserve"> 关于所投</w:t>
      </w:r>
      <w:r>
        <w:rPr>
          <w:rFonts w:hint="eastAsia"/>
          <w:b/>
          <w:color w:val="000000" w:themeColor="text1"/>
          <w:sz w:val="30"/>
          <w:szCs w:val="30"/>
          <w:highlight w:val="none"/>
          <w:u w:val="single"/>
          <w14:textFill>
            <w14:solidFill>
              <w14:schemeClr w14:val="tx1"/>
            </w14:solidFill>
          </w14:textFill>
        </w:rPr>
        <w:t xml:space="preserve">     </w:t>
      </w:r>
      <w:r>
        <w:rPr>
          <w:rFonts w:hint="eastAsia"/>
          <w:b/>
          <w:color w:val="000000" w:themeColor="text1"/>
          <w:sz w:val="30"/>
          <w:szCs w:val="30"/>
          <w:highlight w:val="none"/>
          <w14:textFill>
            <w14:solidFill>
              <w14:schemeClr w14:val="tx1"/>
            </w14:solidFill>
          </w14:textFill>
        </w:rPr>
        <w:t xml:space="preserve">设备的配件、耗材供应情况的承诺函（</w:t>
      </w:r>
      <w:r>
        <w:rPr>
          <w:rFonts w:hint="eastAsia"/>
          <w:b/>
          <w:color w:val="000000" w:themeColor="text1"/>
          <w:sz w:val="30"/>
          <w:szCs w:val="30"/>
          <w:highlight w:val="none"/>
          <w:lang w:val="en-US" w:eastAsia="zh-CN"/>
          <w14:textFill>
            <w14:solidFill>
              <w14:schemeClr w14:val="tx1"/>
            </w14:solidFill>
          </w14:textFill>
        </w:rPr>
        <w:t xml:space="preserve">参考</w:t>
      </w:r>
      <w:r>
        <w:rPr>
          <w:rFonts w:hint="eastAsia"/>
          <w:b/>
          <w:color w:val="000000" w:themeColor="text1"/>
          <w:sz w:val="30"/>
          <w:szCs w:val="30"/>
          <w:highlight w:val="none"/>
          <w14:textFill>
            <w14:solidFill>
              <w14:schemeClr w14:val="tx1"/>
            </w14:solidFill>
          </w14:textFill>
        </w:rPr>
        <w:t xml:space="preserve">格式）：</w:t>
      </w:r>
      <w:r/>
    </w:p>
    <w:p>
      <w:pPr>
        <w:ind w:firstLine="490"/>
        <w:jc w:val="cente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none"/>
          <w14:textFill>
            <w14:solidFill>
              <w14:schemeClr w14:val="tx1"/>
            </w14:solidFill>
          </w14:textFill>
        </w:rPr>
        <w:outlineLvl w:val="0"/>
      </w:pPr>
      <w:r>
        <w:rPr>
          <w:rFonts w:ascii="黑体" w:hAnsi="黑体" w:eastAsia="黑体"/>
          <w:bCs/>
          <w:color w:val="000000" w:themeColor="text1"/>
          <w:sz w:val="28"/>
          <w:szCs w:val="28"/>
          <w:highlight w:val="none"/>
          <w14:textFill>
            <w14:solidFill>
              <w14:schemeClr w14:val="tx1"/>
            </w14:solidFill>
          </w14:textFill>
        </w:rPr>
        <w:t xml:space="preserve">关于所投</w:t>
      </w:r>
      <w:r>
        <w:rPr>
          <w:rFonts w:ascii="黑体" w:hAnsi="黑体" w:eastAsia="黑体"/>
          <w:bCs/>
          <w:color w:val="000000" w:themeColor="text1"/>
          <w:sz w:val="28"/>
          <w:szCs w:val="28"/>
          <w:highlight w:val="none"/>
          <w:u w:val="single"/>
          <w14:textFill>
            <w14:solidFill>
              <w14:schemeClr w14:val="tx1"/>
            </w14:solidFill>
          </w14:textFill>
        </w:rPr>
        <w:t xml:space="preserve"> </w:t>
      </w:r>
      <w:r>
        <w:rPr>
          <w:rFonts w:hint="eastAsia" w:ascii="黑体" w:hAnsi="黑体" w:eastAsia="黑体"/>
          <w:bCs/>
          <w:color w:val="000000" w:themeColor="text1"/>
          <w:sz w:val="28"/>
          <w:szCs w:val="28"/>
          <w:highlight w:val="none"/>
          <w:u w:val="single"/>
          <w14:textFill>
            <w14:solidFill>
              <w14:schemeClr w14:val="tx1"/>
            </w14:solidFill>
          </w14:textFill>
        </w:rPr>
        <w:t xml:space="preserve">    </w:t>
      </w:r>
      <w:r>
        <w:rPr>
          <w:rFonts w:ascii="黑体" w:hAnsi="黑体" w:eastAsia="黑体"/>
          <w:bCs/>
          <w:color w:val="000000" w:themeColor="text1"/>
          <w:sz w:val="28"/>
          <w:szCs w:val="28"/>
          <w:highlight w:val="none"/>
          <w:u w:val="single"/>
          <w14:textFill>
            <w14:solidFill>
              <w14:schemeClr w14:val="tx1"/>
            </w14:solidFill>
          </w14:textFill>
        </w:rPr>
        <w:t xml:space="preserve"> </w:t>
      </w:r>
      <w:r>
        <w:rPr>
          <w:rFonts w:ascii="黑体" w:hAnsi="黑体" w:eastAsia="黑体"/>
          <w:bCs/>
          <w:color w:val="000000" w:themeColor="text1"/>
          <w:sz w:val="28"/>
          <w:szCs w:val="28"/>
          <w:highlight w:val="none"/>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我方承诺确保</w:t>
      </w:r>
      <w:r>
        <w:rPr>
          <w:rFonts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设备在设备使用年限（自</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之日算起</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制造厂商</w:t>
      </w:r>
      <w:r>
        <w:rPr>
          <w:rFonts w:ascii="宋体" w:hAnsi="宋体" w:cs="宋体"/>
          <w:color w:val="000000" w:themeColor="text1"/>
          <w:sz w:val="24"/>
          <w:szCs w:val="24"/>
          <w:highlight w:val="none"/>
          <w14:textFill>
            <w14:solidFill>
              <w14:schemeClr w14:val="tx1"/>
            </w14:solidFill>
          </w14:textFill>
        </w:rPr>
        <w:t xml:space="preserve">：</w:t>
      </w:r>
      <w:r/>
    </w:p>
    <w:p>
      <w:pPr>
        <w:ind w:firstLine="504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制造</w:t>
      </w:r>
      <w:r>
        <w:rPr>
          <w:rFonts w:ascii="宋体" w:hAnsi="宋体" w:cs="宋体"/>
          <w:color w:val="000000" w:themeColor="text1"/>
          <w:sz w:val="24"/>
          <w:szCs w:val="24"/>
          <w:highlight w:val="none"/>
          <w14:textFill>
            <w14:solidFill>
              <w14:schemeClr w14:val="tx1"/>
            </w14:solidFill>
          </w14:textFill>
        </w:rPr>
        <w:t xml:space="preserve">厂家法定（授权）代表人： </w:t>
      </w:r>
      <w:r>
        <w:rPr>
          <w:rFonts w:ascii="宋体" w:hAnsi="宋体" w:cs="宋体"/>
          <w:color w:val="000000" w:themeColor="text1"/>
          <w:sz w:val="24"/>
          <w:szCs w:val="24"/>
          <w:highlight w:val="none"/>
          <w14:textFill>
            <w14:solidFill>
              <w14:schemeClr w14:val="tx1"/>
            </w14:solidFill>
          </w14:textFill>
        </w:rPr>
        <w:br/>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bookmarkStart w:id="199" w:name="_GoBack"/>
      <w:r/>
      <w:bookmarkEnd w:id="199"/>
      <w:r>
        <w:rPr>
          <w:rFonts w:ascii="宋体" w:hAnsi="宋体" w:cs="宋体"/>
          <w:color w:val="000000" w:themeColor="text1"/>
          <w:sz w:val="24"/>
          <w:szCs w:val="24"/>
          <w:highlight w:val="none"/>
          <w14:textFill>
            <w14:solidFill>
              <w14:schemeClr w14:val="tx1"/>
            </w14:solidFill>
          </w14:textFill>
        </w:rPr>
        <w:t xml:space="preserve">     日期：</w:t>
      </w:r>
      <w:r/>
    </w:p>
    <w:p>
      <w:pPr>
        <w:ind w:firstLine="336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sectPr>
      <w:headerReference w:type="default" r:id="rId9"/>
      <w:footerReference w:type="default" r:id="rId10"/>
      <w:footerReference w:type="first" r:id="rId11"/>
      <w:footnotePr/>
      <w:endnotePr/>
      <w:type w:val="nextPage"/>
      <w:pgSz w:w="11906" w:h="16838" w:orient="portrait"/>
      <w:pgMar w:top="567" w:right="851" w:bottom="567" w:left="1134" w:header="624" w:footer="907" w:gutter="0"/>
      <w:pgNumType w:start="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楷体_GB2312">
    <w:panose1 w:val="020B0503020202020204"/>
  </w:font>
  <w:font w:name="方正小标宋简体">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华文细黑">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fldChar w:fldCharType="begin"/>
    </w:r>
    <w:r>
      <w:instrText xml:space="preserve">PAGE \* MERGEFORMAT</w:instrText>
    </w:r>
    <w:r>
      <w:fldChar w:fldCharType="separate"/>
    </w:r>
    <w:r>
      <w:t xml:space="preserve">34</w:t>
    </w:r>
    <w:r>
      <w:fldChar w:fldCharType="end"/>
    </w:r>
    <w:r/>
  </w:p>
  <w:p>
    <w:pPr>
      <w:pStyle w:val="7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48375139"/>
      <w:rPr/>
    </w:sdtPr>
    <w:sdtContent>
      <w:p>
        <w:pPr>
          <w:pStyle w:val="758"/>
          <w:jc w:val="center"/>
        </w:pPr>
        <w:r>
          <w:fldChar w:fldCharType="begin"/>
        </w:r>
        <w:r>
          <w:instrText xml:space="preserve">PAGE   \* MERGEFORMAT</w:instrText>
        </w:r>
        <w:r>
          <w:fldChar w:fldCharType="separate"/>
        </w:r>
        <w:r>
          <w:rPr>
            <w:lang w:val="zh-CN"/>
          </w:rPr>
          <w:t xml:space="preserve">0</w:t>
        </w:r>
        <w:r>
          <w:fldChar w:fldCharType="end"/>
        </w:r>
        <w:r/>
      </w:p>
    </w:sdtContent>
  </w:sdt>
  <w:p>
    <w:pPr>
      <w:pStyle w:val="758"/>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nothing"/>
      <w:lvlText w:val="%1．"/>
      <w:lvlJc w:val="left"/>
      <w:pPr>
        <w:ind w:left="0" w:firstLine="40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9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5528" w:firstLine="0"/>
      </w:pPr>
      <w:rPr>
        <w:rFonts w:hint="eastAsia"/>
      </w:rPr>
    </w:lvl>
    <w:lvl w:ilvl="1">
      <w:start w:val="1"/>
      <w:numFmt w:val="decimal"/>
      <w:isLgl w:val="false"/>
      <w:suff w:val="nothing"/>
      <w:lvlText w:val="%2、"/>
      <w:lvlJc w:val="left"/>
      <w:pPr>
        <w:ind w:left="5528" w:firstLine="0"/>
      </w:pPr>
      <w:rPr>
        <w:rFonts w:hint="eastAsia"/>
      </w:rPr>
    </w:lvl>
    <w:lvl w:ilvl="2">
      <w:start w:val="1"/>
      <w:numFmt w:val="decimal"/>
      <w:isLgl w:val="false"/>
      <w:suff w:val="nothing"/>
      <w:lvlText w:val="%2.%3 "/>
      <w:lvlJc w:val="left"/>
      <w:pPr>
        <w:ind w:left="5528" w:firstLine="0"/>
      </w:pPr>
      <w:rPr>
        <w:rFonts w:hint="eastAsia"/>
      </w:rPr>
    </w:lvl>
    <w:lvl w:ilvl="3">
      <w:start w:val="1"/>
      <w:numFmt w:val="decimal"/>
      <w:isLgl w:val="false"/>
      <w:suff w:val="nothing"/>
      <w:lvlText w:val="%2.%3.%4 "/>
      <w:lvlJc w:val="left"/>
      <w:pPr>
        <w:ind w:left="5528" w:firstLine="0"/>
      </w:pPr>
      <w:rPr>
        <w:rFonts w:hint="eastAsia"/>
      </w:rPr>
    </w:lvl>
    <w:lvl w:ilvl="4">
      <w:start w:val="1"/>
      <w:numFmt w:val="decimal"/>
      <w:isLgl w:val="false"/>
      <w:suff w:val="nothing"/>
      <w:lvlText w:val="%2.%3.%4.%5 "/>
      <w:lvlJc w:val="left"/>
      <w:pPr>
        <w:ind w:left="5528" w:firstLine="0"/>
      </w:pPr>
      <w:rPr>
        <w:rFonts w:hint="eastAsia"/>
      </w:rPr>
    </w:lvl>
    <w:lvl w:ilvl="5">
      <w:start w:val="1"/>
      <w:numFmt w:val="decimal"/>
      <w:pStyle w:val="734"/>
      <w:isLgl w:val="false"/>
      <w:suff w:val="nothing"/>
      <w:lvlText w:val=""/>
      <w:lvlJc w:val="left"/>
      <w:pPr>
        <w:ind w:left="5528" w:firstLine="0"/>
      </w:pPr>
      <w:rPr>
        <w:rFonts w:hint="eastAsia"/>
      </w:rPr>
    </w:lvl>
    <w:lvl w:ilvl="6">
      <w:start w:val="1"/>
      <w:numFmt w:val="decimal"/>
      <w:pStyle w:val="735"/>
      <w:isLgl w:val="false"/>
      <w:suff w:val="nothing"/>
      <w:lvlText w:val=""/>
      <w:lvlJc w:val="left"/>
      <w:pPr>
        <w:ind w:left="5528" w:firstLine="0"/>
      </w:pPr>
      <w:rPr>
        <w:rFonts w:hint="eastAsia"/>
      </w:rPr>
    </w:lvl>
    <w:lvl w:ilvl="7">
      <w:start w:val="1"/>
      <w:numFmt w:val="decimal"/>
      <w:pStyle w:val="736"/>
      <w:isLgl w:val="false"/>
      <w:suff w:val="nothing"/>
      <w:lvlText w:val=""/>
      <w:lvlJc w:val="left"/>
      <w:pPr>
        <w:ind w:left="5528" w:firstLine="0"/>
      </w:pPr>
      <w:rPr>
        <w:rFonts w:hint="eastAsia"/>
      </w:rPr>
    </w:lvl>
    <w:lvl w:ilvl="8">
      <w:start w:val="1"/>
      <w:numFmt w:val="decimal"/>
      <w:pStyle w:val="737"/>
      <w:isLgl w:val="false"/>
      <w:suff w:val="nothing"/>
      <w:lvlText w:val=""/>
      <w:lvlJc w:val="left"/>
      <w:pPr>
        <w:ind w:left="5528" w:firstLine="0"/>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0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pPr>
      <w:rPr>
        <w:rFonts w:hint="default"/>
        <w:b w:val="0"/>
        <w:bCs w:val="0"/>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2"/>
  </w:num>
  <w:num w:numId="4">
    <w:abstractNumId w:val="3"/>
  </w:num>
  <w:num w:numId="5">
    <w:abstractNumId w:val="2"/>
  </w:num>
  <w:num w:numId="6">
    <w:abstractNumId w:val="5"/>
  </w:num>
  <w:num w:numId="7">
    <w:abstractNumId w:val="10"/>
  </w:num>
  <w:num w:numId="8">
    <w:abstractNumId w:val="1"/>
  </w:num>
  <w:num w:numId="9">
    <w:abstractNumId w:val="11"/>
  </w:num>
  <w:num w:numId="10">
    <w:abstractNumId w:val="14"/>
  </w:num>
  <w:num w:numId="11">
    <w:abstractNumId w:val="8"/>
  </w:num>
  <w:num w:numId="12">
    <w:abstractNumId w:val="9"/>
  </w:num>
  <w:num w:numId="13">
    <w:abstractNumId w:val="13"/>
  </w:num>
  <w:num w:numId="14">
    <w:abstractNumId w:val="7"/>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9">
    <w:name w:val="Heading 1"/>
    <w:basedOn w:val="728"/>
    <w:next w:val="728"/>
    <w:link w:val="964"/>
    <w:uiPriority w:val="0"/>
    <w:qFormat/>
    <w:pPr>
      <w:jc w:val="center"/>
      <w:keepNext/>
      <w:outlineLvl w:val="0"/>
    </w:pPr>
    <w:rPr>
      <w:rFonts w:ascii="楷体_GB2312" w:eastAsia="楷体_GB2312"/>
      <w:sz w:val="28"/>
      <w:szCs w:val="28"/>
    </w:rPr>
  </w:style>
  <w:style w:type="paragraph" w:styleId="730">
    <w:name w:val="Heading 2"/>
    <w:basedOn w:val="728"/>
    <w:next w:val="740"/>
    <w:link w:val="965"/>
    <w:uiPriority w:val="99"/>
    <w:qFormat/>
    <w:pPr>
      <w:jc w:val="center"/>
      <w:keepLines/>
      <w:keepNext/>
      <w:spacing w:before="260" w:after="260" w:line="416" w:lineRule="auto"/>
      <w:outlineLvl w:val="1"/>
    </w:pPr>
    <w:rPr>
      <w:rFonts w:ascii="Arial" w:hAnsi="Arial" w:eastAsia="幼圆"/>
      <w:b/>
      <w:bCs/>
      <w:sz w:val="44"/>
      <w:szCs w:val="44"/>
    </w:rPr>
  </w:style>
  <w:style w:type="paragraph" w:styleId="731">
    <w:name w:val="Heading 3"/>
    <w:basedOn w:val="728"/>
    <w:next w:val="740"/>
    <w:link w:val="967"/>
    <w:uiPriority w:val="99"/>
    <w:qFormat/>
    <w:pPr>
      <w:keepLines/>
      <w:keepNext/>
      <w:spacing w:before="260" w:after="260" w:line="416" w:lineRule="auto"/>
      <w:outlineLvl w:val="2"/>
    </w:pPr>
    <w:rPr>
      <w:b/>
      <w:bCs/>
      <w:sz w:val="32"/>
      <w:szCs w:val="32"/>
    </w:rPr>
  </w:style>
  <w:style w:type="paragraph" w:styleId="732">
    <w:name w:val="Heading 4"/>
    <w:basedOn w:val="728"/>
    <w:next w:val="740"/>
    <w:link w:val="968"/>
    <w:uiPriority w:val="99"/>
    <w:qFormat/>
    <w:pPr>
      <w:keepLines/>
      <w:keepNext/>
      <w:spacing w:before="280" w:after="290" w:line="376" w:lineRule="auto"/>
      <w:outlineLvl w:val="3"/>
    </w:pPr>
    <w:rPr>
      <w:rFonts w:ascii="Arial" w:hAnsi="Arial" w:eastAsia="黑体"/>
      <w:b/>
      <w:bCs/>
      <w:sz w:val="28"/>
      <w:szCs w:val="28"/>
    </w:rPr>
  </w:style>
  <w:style w:type="paragraph" w:styleId="733">
    <w:name w:val="Heading 5"/>
    <w:basedOn w:val="728"/>
    <w:next w:val="740"/>
    <w:link w:val="969"/>
    <w:uiPriority w:val="99"/>
    <w:qFormat/>
    <w:pPr>
      <w:keepNext/>
      <w:outlineLvl w:val="4"/>
    </w:pPr>
    <w:rPr>
      <w:rFonts w:ascii="宋体"/>
      <w:color w:val="000000"/>
      <w:sz w:val="28"/>
      <w:szCs w:val="28"/>
    </w:rPr>
  </w:style>
  <w:style w:type="paragraph" w:styleId="734">
    <w:name w:val="Heading 6"/>
    <w:basedOn w:val="728"/>
    <w:next w:val="728"/>
    <w:link w:val="97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35">
    <w:name w:val="Heading 7"/>
    <w:basedOn w:val="728"/>
    <w:next w:val="728"/>
    <w:link w:val="971"/>
    <w:uiPriority w:val="0"/>
    <w:qFormat/>
    <w:pPr>
      <w:numPr>
        <w:ilvl w:val="6"/>
        <w:numId w:val="1"/>
      </w:numPr>
      <w:keepLines/>
      <w:keepNext/>
      <w:spacing w:before="240" w:after="64" w:line="320" w:lineRule="auto"/>
      <w:outlineLvl w:val="6"/>
    </w:pPr>
    <w:rPr>
      <w:b/>
      <w:bCs/>
      <w:sz w:val="24"/>
      <w:szCs w:val="24"/>
    </w:rPr>
  </w:style>
  <w:style w:type="paragraph" w:styleId="736">
    <w:name w:val="Heading 8"/>
    <w:basedOn w:val="728"/>
    <w:next w:val="728"/>
    <w:link w:val="97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37">
    <w:name w:val="Heading 9"/>
    <w:basedOn w:val="728"/>
    <w:next w:val="728"/>
    <w:link w:val="973"/>
    <w:uiPriority w:val="0"/>
    <w:qFormat/>
    <w:pPr>
      <w:numPr>
        <w:ilvl w:val="8"/>
        <w:numId w:val="1"/>
      </w:numPr>
      <w:keepLines/>
      <w:keepNext/>
      <w:spacing w:before="240" w:after="64" w:line="320" w:lineRule="auto"/>
      <w:outlineLvl w:val="8"/>
    </w:pPr>
    <w:rPr>
      <w:rFonts w:ascii="Arial" w:hAnsi="Arial" w:eastAsia="黑体"/>
      <w:sz w:val="20"/>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Normal Indent"/>
    <w:basedOn w:val="728"/>
    <w:link w:val="966"/>
    <w:uiPriority w:val="99"/>
    <w:qFormat/>
    <w:pPr>
      <w:ind w:firstLine="420"/>
    </w:pPr>
    <w:rPr>
      <w:sz w:val="20"/>
    </w:rPr>
  </w:style>
  <w:style w:type="paragraph" w:styleId="741">
    <w:name w:val="List 3"/>
    <w:basedOn w:val="728"/>
    <w:uiPriority w:val="0"/>
    <w:qFormat/>
    <w:pPr>
      <w:ind w:left="100" w:hanging="200"/>
    </w:pPr>
  </w:style>
  <w:style w:type="paragraph" w:styleId="742">
    <w:name w:val="toc 7"/>
    <w:basedOn w:val="728"/>
    <w:next w:val="728"/>
    <w:uiPriority w:val="0"/>
    <w:semiHidden/>
    <w:qFormat/>
    <w:pPr>
      <w:ind w:left="1260"/>
      <w:jc w:val="left"/>
    </w:pPr>
  </w:style>
  <w:style w:type="paragraph" w:styleId="743">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4">
    <w:name w:val="Document Map"/>
    <w:basedOn w:val="728"/>
    <w:link w:val="974"/>
    <w:uiPriority w:val="99"/>
    <w:semiHidden/>
    <w:qFormat/>
    <w:pPr>
      <w:shd w:val="clear" w:color="auto" w:fill="000080"/>
    </w:pPr>
    <w:rPr>
      <w:sz w:val="20"/>
    </w:rPr>
  </w:style>
  <w:style w:type="paragraph" w:styleId="745">
    <w:name w:val="annotation text"/>
    <w:basedOn w:val="728"/>
    <w:link w:val="975"/>
    <w:uiPriority w:val="99"/>
    <w:qFormat/>
    <w:pPr>
      <w:jc w:val="left"/>
    </w:pPr>
    <w:rPr>
      <w:sz w:val="20"/>
    </w:rPr>
  </w:style>
  <w:style w:type="paragraph" w:styleId="746">
    <w:name w:val="Body Text 3"/>
    <w:basedOn w:val="728"/>
    <w:link w:val="976"/>
    <w:uiPriority w:val="0"/>
    <w:qFormat/>
    <w:rPr>
      <w:rFonts w:ascii="仿宋_GB2312" w:hAnsi="Arial" w:eastAsia="仿宋_GB2312"/>
      <w:sz w:val="32"/>
      <w:szCs w:val="32"/>
    </w:rPr>
  </w:style>
  <w:style w:type="paragraph" w:styleId="747">
    <w:name w:val="Body Text"/>
    <w:basedOn w:val="728"/>
    <w:link w:val="977"/>
    <w:uiPriority w:val="0"/>
    <w:qFormat/>
    <w:rPr>
      <w:rFonts w:ascii="楷体_GB2312" w:hAnsi="Arial" w:eastAsia="楷体_GB2312"/>
      <w:sz w:val="28"/>
      <w:szCs w:val="28"/>
    </w:rPr>
  </w:style>
  <w:style w:type="paragraph" w:styleId="748">
    <w:name w:val="Body Text Indent"/>
    <w:basedOn w:val="728"/>
    <w:link w:val="978"/>
    <w:uiPriority w:val="0"/>
    <w:qFormat/>
    <w:pPr>
      <w:ind w:firstLine="645"/>
    </w:pPr>
    <w:rPr>
      <w:rFonts w:ascii="楷体_GB2312" w:eastAsia="楷体_GB2312"/>
      <w:sz w:val="32"/>
      <w:szCs w:val="32"/>
    </w:rPr>
  </w:style>
  <w:style w:type="paragraph" w:styleId="749">
    <w:name w:val="List 2"/>
    <w:basedOn w:val="728"/>
    <w:uiPriority w:val="0"/>
    <w:qFormat/>
    <w:pPr>
      <w:ind w:left="100" w:hanging="200"/>
    </w:pPr>
  </w:style>
  <w:style w:type="paragraph" w:styleId="750">
    <w:name w:val="toc 5"/>
    <w:basedOn w:val="728"/>
    <w:next w:val="728"/>
    <w:uiPriority w:val="0"/>
    <w:semiHidden/>
    <w:qFormat/>
    <w:pPr>
      <w:ind w:left="840"/>
      <w:jc w:val="left"/>
    </w:pPr>
  </w:style>
  <w:style w:type="paragraph" w:styleId="751">
    <w:name w:val="toc 3"/>
    <w:basedOn w:val="728"/>
    <w:next w:val="728"/>
    <w:uiPriority w:val="0"/>
    <w:semiHidden/>
    <w:qFormat/>
    <w:pPr>
      <w:ind w:left="420"/>
      <w:jc w:val="left"/>
    </w:pPr>
    <w:rPr>
      <w:i/>
      <w:iCs/>
      <w:szCs w:val="24"/>
    </w:rPr>
  </w:style>
  <w:style w:type="paragraph" w:styleId="752">
    <w:name w:val="Plain Text"/>
    <w:basedOn w:val="728"/>
    <w:link w:val="979"/>
    <w:uiPriority w:val="0"/>
    <w:qFormat/>
    <w:rPr>
      <w:rFonts w:ascii="宋体" w:hAnsi="Courier New"/>
      <w:sz w:val="20"/>
    </w:rPr>
  </w:style>
  <w:style w:type="paragraph" w:styleId="753">
    <w:name w:val="toc 8"/>
    <w:basedOn w:val="728"/>
    <w:next w:val="728"/>
    <w:uiPriority w:val="0"/>
    <w:semiHidden/>
    <w:qFormat/>
    <w:pPr>
      <w:ind w:left="1470"/>
      <w:jc w:val="left"/>
    </w:pPr>
  </w:style>
  <w:style w:type="paragraph" w:styleId="754">
    <w:name w:val="Date"/>
    <w:basedOn w:val="728"/>
    <w:next w:val="728"/>
    <w:link w:val="980"/>
    <w:uiPriority w:val="99"/>
    <w:qFormat/>
    <w:rPr>
      <w:sz w:val="24"/>
      <w:szCs w:val="24"/>
    </w:rPr>
  </w:style>
  <w:style w:type="paragraph" w:styleId="755">
    <w:name w:val="Body Text Indent 2"/>
    <w:basedOn w:val="728"/>
    <w:link w:val="981"/>
    <w:uiPriority w:val="99"/>
    <w:qFormat/>
    <w:pPr>
      <w:ind w:left="630" w:firstLine="645"/>
    </w:pPr>
    <w:rPr>
      <w:rFonts w:ascii="Arial" w:hAnsi="Arial" w:eastAsia="仿宋_GB2312"/>
      <w:sz w:val="32"/>
      <w:szCs w:val="32"/>
    </w:rPr>
  </w:style>
  <w:style w:type="paragraph" w:styleId="756">
    <w:name w:val="endnote text"/>
    <w:basedOn w:val="728"/>
    <w:link w:val="962"/>
    <w:uiPriority w:val="99"/>
    <w:semiHidden/>
    <w:unhideWhenUsed/>
    <w:qFormat/>
    <w:rPr>
      <w:sz w:val="20"/>
    </w:rPr>
  </w:style>
  <w:style w:type="paragraph" w:styleId="757">
    <w:name w:val="Balloon Text"/>
    <w:basedOn w:val="728"/>
    <w:link w:val="982"/>
    <w:uiPriority w:val="99"/>
    <w:qFormat/>
    <w:rPr>
      <w:sz w:val="18"/>
      <w:szCs w:val="18"/>
    </w:rPr>
  </w:style>
  <w:style w:type="paragraph" w:styleId="758">
    <w:name w:val="Footer"/>
    <w:basedOn w:val="728"/>
    <w:link w:val="983"/>
    <w:uiPriority w:val="99"/>
    <w:qFormat/>
    <w:pPr>
      <w:jc w:val="left"/>
      <w:tabs>
        <w:tab w:val="center" w:pos="4153" w:leader="none"/>
        <w:tab w:val="right" w:pos="8306" w:leader="none"/>
      </w:tabs>
    </w:pPr>
    <w:rPr>
      <w:sz w:val="18"/>
      <w:szCs w:val="18"/>
    </w:rPr>
  </w:style>
  <w:style w:type="paragraph" w:styleId="759">
    <w:name w:val="envelope return"/>
    <w:basedOn w:val="728"/>
    <w:uiPriority w:val="99"/>
    <w:unhideWhenUsed/>
    <w:qFormat/>
    <w:rPr>
      <w:rFonts w:ascii="Arial" w:hAnsi="Arial"/>
      <w:szCs w:val="20"/>
    </w:rPr>
  </w:style>
  <w:style w:type="paragraph" w:styleId="760">
    <w:name w:val="Header"/>
    <w:basedOn w:val="728"/>
    <w:link w:val="984"/>
    <w:uiPriority w:val="99"/>
    <w:qFormat/>
    <w:pPr>
      <w:jc w:val="center"/>
      <w:tabs>
        <w:tab w:val="center" w:pos="4153" w:leader="none"/>
        <w:tab w:val="right" w:pos="8306" w:leader="none"/>
      </w:tabs>
      <w:pBdr>
        <w:bottom w:val="single" w:color="000000" w:sz="6" w:space="1"/>
      </w:pBdr>
    </w:pPr>
    <w:rPr>
      <w:sz w:val="18"/>
      <w:szCs w:val="18"/>
    </w:rPr>
  </w:style>
  <w:style w:type="paragraph" w:styleId="761">
    <w:name w:val="toc 1"/>
    <w:basedOn w:val="728"/>
    <w:next w:val="728"/>
    <w:uiPriority w:val="0"/>
    <w:semiHidden/>
    <w:qFormat/>
    <w:pPr>
      <w:jc w:val="left"/>
      <w:spacing w:before="120" w:after="120" w:line="400" w:lineRule="exact"/>
      <w:tabs>
        <w:tab w:val="right" w:pos="8720" w:leader="dot"/>
      </w:tabs>
    </w:pPr>
    <w:rPr>
      <w:rFonts w:ascii="宋体" w:hAnsi="宋体"/>
      <w:caps/>
      <w:sz w:val="24"/>
      <w:szCs w:val="24"/>
    </w:rPr>
  </w:style>
  <w:style w:type="paragraph" w:styleId="762">
    <w:name w:val="toc 4"/>
    <w:basedOn w:val="728"/>
    <w:next w:val="728"/>
    <w:uiPriority w:val="0"/>
    <w:semiHidden/>
    <w:qFormat/>
    <w:pPr>
      <w:ind w:left="630"/>
      <w:jc w:val="left"/>
    </w:pPr>
  </w:style>
  <w:style w:type="paragraph" w:styleId="763">
    <w:name w:val="Subtitle"/>
    <w:basedOn w:val="728"/>
    <w:next w:val="728"/>
    <w:link w:val="828"/>
    <w:uiPriority w:val="0"/>
    <w:qFormat/>
    <w:pPr>
      <w:spacing w:before="200" w:after="200"/>
    </w:pPr>
    <w:rPr>
      <w:sz w:val="24"/>
      <w:szCs w:val="24"/>
    </w:rPr>
  </w:style>
  <w:style w:type="paragraph" w:styleId="764">
    <w:name w:val="List"/>
    <w:basedOn w:val="728"/>
    <w:uiPriority w:val="99"/>
    <w:qFormat/>
    <w:pPr>
      <w:ind w:left="200" w:hanging="200"/>
    </w:pPr>
  </w:style>
  <w:style w:type="paragraph" w:styleId="765">
    <w:name w:val="footnote text"/>
    <w:basedOn w:val="728"/>
    <w:link w:val="961"/>
    <w:uiPriority w:val="99"/>
    <w:semiHidden/>
    <w:unhideWhenUsed/>
    <w:qFormat/>
    <w:pPr>
      <w:spacing w:after="40"/>
    </w:pPr>
    <w:rPr>
      <w:sz w:val="18"/>
    </w:rPr>
  </w:style>
  <w:style w:type="paragraph" w:styleId="766">
    <w:name w:val="toc 6"/>
    <w:basedOn w:val="728"/>
    <w:next w:val="728"/>
    <w:uiPriority w:val="0"/>
    <w:semiHidden/>
    <w:qFormat/>
    <w:pPr>
      <w:ind w:left="1050"/>
      <w:jc w:val="left"/>
    </w:pPr>
  </w:style>
  <w:style w:type="paragraph" w:styleId="767">
    <w:name w:val="Body Text Indent 3"/>
    <w:basedOn w:val="728"/>
    <w:link w:val="985"/>
    <w:uiPriority w:val="99"/>
    <w:qFormat/>
    <w:pPr>
      <w:ind w:left="645" w:firstLine="645"/>
    </w:pPr>
    <w:rPr>
      <w:rFonts w:ascii="Arial" w:hAnsi="Arial" w:eastAsia="仿宋_GB2312"/>
      <w:color w:val="ffff00"/>
      <w:sz w:val="32"/>
      <w:szCs w:val="32"/>
    </w:rPr>
  </w:style>
  <w:style w:type="paragraph" w:styleId="768">
    <w:name w:val="table of figures"/>
    <w:basedOn w:val="728"/>
    <w:next w:val="728"/>
    <w:uiPriority w:val="0"/>
    <w:semiHidden/>
    <w:qFormat/>
    <w:pPr>
      <w:ind w:left="840" w:hanging="420"/>
    </w:pPr>
  </w:style>
  <w:style w:type="paragraph" w:styleId="769">
    <w:name w:val="toc 2"/>
    <w:basedOn w:val="728"/>
    <w:next w:val="728"/>
    <w:uiPriority w:val="0"/>
    <w:semiHidden/>
    <w:qFormat/>
    <w:pPr>
      <w:ind w:left="210"/>
      <w:jc w:val="left"/>
    </w:pPr>
    <w:rPr>
      <w:smallCaps/>
      <w:szCs w:val="24"/>
    </w:rPr>
  </w:style>
  <w:style w:type="paragraph" w:styleId="770">
    <w:name w:val="toc 9"/>
    <w:basedOn w:val="728"/>
    <w:next w:val="728"/>
    <w:uiPriority w:val="0"/>
    <w:semiHidden/>
    <w:qFormat/>
    <w:pPr>
      <w:ind w:left="1680"/>
      <w:jc w:val="left"/>
    </w:pPr>
  </w:style>
  <w:style w:type="paragraph" w:styleId="771">
    <w:name w:val="Body Text 2"/>
    <w:basedOn w:val="728"/>
    <w:link w:val="986"/>
    <w:uiPriority w:val="0"/>
    <w:qFormat/>
    <w:pPr>
      <w:jc w:val="center"/>
      <w:widowControl/>
    </w:pPr>
    <w:rPr>
      <w:rFonts w:ascii="楷体_GB2312" w:eastAsia="楷体_GB2312"/>
      <w:sz w:val="28"/>
      <w:szCs w:val="28"/>
    </w:rPr>
  </w:style>
  <w:style w:type="paragraph" w:styleId="772">
    <w:name w:val="Normal (Web)"/>
    <w:basedOn w:val="728"/>
    <w:uiPriority w:val="0"/>
    <w:qFormat/>
    <w:pPr>
      <w:jc w:val="left"/>
      <w:spacing w:before="100" w:beforeAutospacing="1" w:after="100" w:afterAutospacing="1"/>
      <w:widowControl/>
    </w:pPr>
    <w:rPr>
      <w:rFonts w:ascii="宋体" w:hAnsi="宋体" w:cs="宋体"/>
      <w:sz w:val="24"/>
      <w:szCs w:val="24"/>
    </w:rPr>
  </w:style>
  <w:style w:type="paragraph" w:styleId="773">
    <w:name w:val="index 1"/>
    <w:basedOn w:val="728"/>
    <w:next w:val="728"/>
    <w:uiPriority w:val="0"/>
    <w:semiHidden/>
    <w:qFormat/>
    <w:pPr>
      <w:spacing w:line="240" w:lineRule="atLeast"/>
    </w:pPr>
    <w:rPr>
      <w:b/>
      <w:bCs/>
    </w:rPr>
  </w:style>
  <w:style w:type="paragraph" w:styleId="774">
    <w:name w:val="Title"/>
    <w:basedOn w:val="728"/>
    <w:next w:val="728"/>
    <w:link w:val="827"/>
    <w:uiPriority w:val="0"/>
    <w:qFormat/>
    <w:pPr>
      <w:contextualSpacing/>
      <w:spacing w:before="300" w:after="200"/>
    </w:pPr>
    <w:rPr>
      <w:sz w:val="48"/>
      <w:szCs w:val="48"/>
    </w:rPr>
  </w:style>
  <w:style w:type="paragraph" w:styleId="775">
    <w:name w:val="annotation subject"/>
    <w:basedOn w:val="745"/>
    <w:next w:val="745"/>
    <w:link w:val="987"/>
    <w:uiPriority w:val="0"/>
    <w:qFormat/>
    <w:rPr>
      <w:b/>
      <w:bCs/>
    </w:rPr>
  </w:style>
  <w:style w:type="paragraph" w:styleId="776">
    <w:name w:val="Body Text First Indent"/>
    <w:basedOn w:val="728"/>
    <w:link w:val="988"/>
    <w:uiPriority w:val="0"/>
    <w:qFormat/>
    <w:pPr>
      <w:ind w:firstLine="200"/>
      <w:spacing w:line="360" w:lineRule="auto"/>
    </w:pPr>
    <w:rPr>
      <w:rFonts w:ascii="仿宋_GB2312" w:eastAsia="仿宋_GB2312"/>
      <w:sz w:val="30"/>
      <w:szCs w:val="30"/>
    </w:rPr>
  </w:style>
  <w:style w:type="paragraph" w:styleId="777">
    <w:name w:val="Body Text First Indent 2"/>
    <w:basedOn w:val="748"/>
    <w:link w:val="989"/>
    <w:uiPriority w:val="99"/>
    <w:qFormat/>
    <w:pPr>
      <w:ind w:firstLine="420"/>
      <w:spacing w:line="360" w:lineRule="auto"/>
    </w:pPr>
    <w:rPr>
      <w:rFonts w:ascii="宋体" w:hAnsi="宋体" w:eastAsia="宋体"/>
      <w:szCs w:val="20"/>
    </w:rPr>
  </w:style>
  <w:style w:type="table" w:styleId="778">
    <w:name w:val="Table Grid"/>
    <w:basedOn w:val="73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9">
    <w:name w:val="Strong"/>
    <w:uiPriority w:val="99"/>
    <w:qFormat/>
    <w:rPr>
      <w:b/>
      <w:bCs/>
    </w:rPr>
  </w:style>
  <w:style w:type="character" w:styleId="780">
    <w:name w:val="endnote reference"/>
    <w:uiPriority w:val="99"/>
    <w:semiHidden/>
    <w:unhideWhenUsed/>
    <w:qFormat/>
    <w:rPr>
      <w:vertAlign w:val="superscript"/>
    </w:rPr>
  </w:style>
  <w:style w:type="character" w:styleId="781">
    <w:name w:val="page number"/>
    <w:uiPriority w:val="99"/>
    <w:qFormat/>
  </w:style>
  <w:style w:type="character" w:styleId="782">
    <w:name w:val="FollowedHyperlink"/>
    <w:uiPriority w:val="99"/>
    <w:qFormat/>
    <w:rPr>
      <w:rFonts w:cs="Times New Roman"/>
      <w:color w:val="auto"/>
      <w:u w:val="none"/>
    </w:rPr>
  </w:style>
  <w:style w:type="character" w:styleId="783">
    <w:name w:val="Emphasis"/>
    <w:basedOn w:val="738"/>
    <w:uiPriority w:val="20"/>
    <w:qFormat/>
    <w:rPr>
      <w:i/>
    </w:rPr>
  </w:style>
  <w:style w:type="character" w:styleId="784">
    <w:name w:val="HTML Typewriter"/>
    <w:uiPriority w:val="99"/>
    <w:qFormat/>
    <w:rPr>
      <w:rFonts w:ascii="宋体" w:hAnsi="宋体" w:eastAsia="宋体" w:cs="宋体"/>
      <w:sz w:val="24"/>
      <w:szCs w:val="24"/>
    </w:rPr>
  </w:style>
  <w:style w:type="character" w:styleId="785">
    <w:name w:val="Hyperlink"/>
    <w:uiPriority w:val="99"/>
    <w:qFormat/>
    <w:rPr>
      <w:color w:val="0000ff"/>
      <w:u w:val="single"/>
    </w:rPr>
  </w:style>
  <w:style w:type="character" w:styleId="786">
    <w:name w:val="annotation reference"/>
    <w:uiPriority w:val="99"/>
    <w:qFormat/>
    <w:rPr>
      <w:sz w:val="21"/>
      <w:szCs w:val="21"/>
    </w:rPr>
  </w:style>
  <w:style w:type="character" w:styleId="787">
    <w:name w:val="footnote reference"/>
    <w:uiPriority w:val="99"/>
    <w:unhideWhenUsed/>
    <w:qFormat/>
    <w:rPr>
      <w:vertAlign w:val="superscript"/>
    </w:rPr>
  </w:style>
  <w:style w:type="table" w:styleId="788" w:customStyle="1">
    <w:name w:val="Plain Table 1"/>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2"/>
    <w:basedOn w:val="7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3"/>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Plain Table 4"/>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Plain Table 5"/>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Grid Table 1 Light"/>
    <w:basedOn w:val="7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2"/>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3"/>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basedOn w:val="7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5 Dark"/>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6 Colorful"/>
    <w:basedOn w:val="7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7 Colorful"/>
    <w:basedOn w:val="7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List Table 1 Light"/>
    <w:basedOn w:val="7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2"/>
    <w:basedOn w:val="7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3"/>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4"/>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5 Dark"/>
    <w:basedOn w:val="7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6 Colorful"/>
    <w:basedOn w:val="7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List Table 7 Colorful"/>
    <w:basedOn w:val="7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7" w:customStyle="1">
    <w:name w:val="TOC Heading"/>
    <w:uiPriority w:val="39"/>
    <w:unhideWhenUsed/>
    <w:qFormat/>
    <w:rPr>
      <w:rFonts w:hint="default" w:ascii="Times New Roman" w:hAnsi="Times New Roman" w:eastAsia="宋体" w:cs="Times New Roman"/>
    </w:rPr>
  </w:style>
  <w:style w:type="character" w:styleId="808" w:customStyle="1">
    <w:name w:val="Title Char"/>
    <w:basedOn w:val="738"/>
    <w:uiPriority w:val="10"/>
    <w:qFormat/>
    <w:rPr>
      <w:sz w:val="48"/>
      <w:szCs w:val="48"/>
    </w:rPr>
  </w:style>
  <w:style w:type="character" w:styleId="809" w:customStyle="1">
    <w:name w:val="Subtitle Char"/>
    <w:basedOn w:val="738"/>
    <w:uiPriority w:val="11"/>
    <w:qFormat/>
    <w:rPr>
      <w:sz w:val="24"/>
      <w:szCs w:val="24"/>
    </w:rPr>
  </w:style>
  <w:style w:type="character" w:styleId="810" w:customStyle="1">
    <w:name w:val="Quote Char"/>
    <w:uiPriority w:val="29"/>
    <w:qFormat/>
    <w:rPr>
      <w:i/>
    </w:rPr>
  </w:style>
  <w:style w:type="character" w:styleId="811" w:customStyle="1">
    <w:name w:val="Intense Quote Char"/>
    <w:uiPriority w:val="30"/>
    <w:qFormat/>
    <w:rPr>
      <w:i/>
    </w:rPr>
  </w:style>
  <w:style w:type="character" w:styleId="812" w:customStyle="1">
    <w:name w:val="Footnote Text Char"/>
    <w:uiPriority w:val="99"/>
    <w:qFormat/>
    <w:rPr>
      <w:sz w:val="18"/>
    </w:rPr>
  </w:style>
  <w:style w:type="character" w:styleId="813" w:customStyle="1">
    <w:name w:val="Endnote Text Char"/>
    <w:uiPriority w:val="99"/>
    <w:qFormat/>
    <w:rPr>
      <w:sz w:val="20"/>
    </w:rPr>
  </w:style>
  <w:style w:type="paragraph" w:styleId="814" w:customStyle="1">
    <w:name w:val="TOC 标题1"/>
    <w:uiPriority w:val="39"/>
    <w:unhideWhenUsed/>
    <w:qFormat/>
    <w:rPr>
      <w:rFonts w:hint="default" w:ascii="Times New Roman" w:hAnsi="Times New Roman" w:eastAsia="宋体" w:cs="Times New Roman"/>
      <w:lang w:val="en-US" w:eastAsia="zh-CN" w:bidi="ar-SA"/>
    </w:rPr>
  </w:style>
  <w:style w:type="paragraph" w:styleId="815" w:customStyle="1">
    <w:name w:val="正文文本缩进1"/>
    <w:basedOn w:val="728"/>
    <w:uiPriority w:val="0"/>
    <w:qFormat/>
    <w:pPr>
      <w:ind w:firstLine="645"/>
    </w:pPr>
    <w:rPr>
      <w:rFonts w:ascii="楷体_GB2312" w:eastAsia="楷体_GB2312"/>
      <w:sz w:val="32"/>
      <w:szCs w:val="32"/>
      <w:lang w:eastAsia="en-US"/>
    </w:rPr>
  </w:style>
  <w:style w:type="character" w:styleId="816" w:customStyle="1">
    <w:name w:val="Heading 1 Char"/>
    <w:uiPriority w:val="9"/>
    <w:qFormat/>
    <w:rPr>
      <w:rFonts w:ascii="Arial" w:hAnsi="Arial" w:eastAsia="Arial" w:cs="Arial"/>
      <w:sz w:val="40"/>
      <w:szCs w:val="40"/>
    </w:rPr>
  </w:style>
  <w:style w:type="character" w:styleId="817" w:customStyle="1">
    <w:name w:val="Heading 2 Char"/>
    <w:uiPriority w:val="9"/>
    <w:qFormat/>
    <w:rPr>
      <w:rFonts w:ascii="Arial" w:hAnsi="Arial" w:eastAsia="Arial" w:cs="Arial"/>
      <w:sz w:val="34"/>
    </w:rPr>
  </w:style>
  <w:style w:type="character" w:styleId="818" w:customStyle="1">
    <w:name w:val="Heading 3 Char"/>
    <w:uiPriority w:val="9"/>
    <w:qFormat/>
    <w:rPr>
      <w:rFonts w:ascii="Arial" w:hAnsi="Arial" w:eastAsia="Arial" w:cs="Arial"/>
      <w:sz w:val="30"/>
      <w:szCs w:val="30"/>
    </w:rPr>
  </w:style>
  <w:style w:type="character" w:styleId="819" w:customStyle="1">
    <w:name w:val="Heading 4 Char"/>
    <w:uiPriority w:val="9"/>
    <w:qFormat/>
    <w:rPr>
      <w:rFonts w:ascii="Arial" w:hAnsi="Arial" w:eastAsia="Arial" w:cs="Arial"/>
      <w:b/>
      <w:bCs/>
      <w:sz w:val="26"/>
      <w:szCs w:val="26"/>
    </w:rPr>
  </w:style>
  <w:style w:type="character" w:styleId="820" w:customStyle="1">
    <w:name w:val="Heading 5 Char"/>
    <w:uiPriority w:val="9"/>
    <w:qFormat/>
    <w:rPr>
      <w:rFonts w:ascii="Arial" w:hAnsi="Arial" w:eastAsia="Arial" w:cs="Arial"/>
      <w:b/>
      <w:bCs/>
      <w:sz w:val="24"/>
      <w:szCs w:val="24"/>
    </w:rPr>
  </w:style>
  <w:style w:type="character" w:styleId="821" w:customStyle="1">
    <w:name w:val="Heading 6 Char"/>
    <w:uiPriority w:val="9"/>
    <w:qFormat/>
    <w:rPr>
      <w:rFonts w:ascii="Arial" w:hAnsi="Arial" w:eastAsia="Arial" w:cs="Arial"/>
      <w:b/>
      <w:bCs/>
      <w:sz w:val="22"/>
      <w:szCs w:val="22"/>
    </w:rPr>
  </w:style>
  <w:style w:type="character" w:styleId="822" w:customStyle="1">
    <w:name w:val="Heading 7 Char"/>
    <w:uiPriority w:val="9"/>
    <w:qFormat/>
    <w:rPr>
      <w:rFonts w:ascii="Arial" w:hAnsi="Arial" w:eastAsia="Arial" w:cs="Arial"/>
      <w:b/>
      <w:bCs/>
      <w:i/>
      <w:iCs/>
      <w:sz w:val="22"/>
      <w:szCs w:val="22"/>
    </w:rPr>
  </w:style>
  <w:style w:type="character" w:styleId="823" w:customStyle="1">
    <w:name w:val="Heading 8 Char"/>
    <w:uiPriority w:val="9"/>
    <w:qFormat/>
    <w:rPr>
      <w:rFonts w:ascii="Arial" w:hAnsi="Arial" w:eastAsia="Arial" w:cs="Arial"/>
      <w:i/>
      <w:iCs/>
      <w:sz w:val="22"/>
      <w:szCs w:val="22"/>
    </w:rPr>
  </w:style>
  <w:style w:type="character" w:styleId="824" w:customStyle="1">
    <w:name w:val="Heading 9 Char"/>
    <w:uiPriority w:val="9"/>
    <w:qFormat/>
    <w:rPr>
      <w:rFonts w:ascii="Arial" w:hAnsi="Arial" w:eastAsia="Arial" w:cs="Arial"/>
      <w:i/>
      <w:iCs/>
      <w:sz w:val="21"/>
      <w:szCs w:val="21"/>
    </w:rPr>
  </w:style>
  <w:style w:type="paragraph" w:styleId="825">
    <w:name w:val="List Paragraph"/>
    <w:basedOn w:val="728"/>
    <w:uiPriority w:val="34"/>
    <w:qFormat/>
    <w:pPr>
      <w:contextualSpacing/>
      <w:ind w:left="720"/>
      <w:jc w:val="left"/>
      <w:widowControl/>
    </w:pPr>
    <w:rPr>
      <w:rFonts w:ascii="Calibri" w:hAnsi="Calibri"/>
      <w:sz w:val="24"/>
      <w:szCs w:val="24"/>
      <w:lang w:eastAsia="en-US" w:bidi="en-US"/>
    </w:rPr>
  </w:style>
  <w:style w:type="paragraph" w:styleId="826">
    <w:name w:val="No Spacing"/>
    <w:link w:val="1092"/>
    <w:uiPriority w:val="1"/>
    <w:qFormat/>
    <w:pPr>
      <w:jc w:val="both"/>
      <w:widowControl w:val="off"/>
    </w:pPr>
    <w:rPr>
      <w:rFonts w:hint="default" w:ascii="Times New Roman" w:hAnsi="Times New Roman" w:eastAsia="宋体" w:cs="Times New Roman"/>
      <w:sz w:val="21"/>
      <w:szCs w:val="21"/>
      <w:lang w:val="en-US" w:eastAsia="zh-CN" w:bidi="ar-SA"/>
    </w:rPr>
  </w:style>
  <w:style w:type="character" w:styleId="827" w:customStyle="1">
    <w:name w:val="标题 字符"/>
    <w:link w:val="774"/>
    <w:uiPriority w:val="10"/>
    <w:qFormat/>
    <w:rPr>
      <w:sz w:val="48"/>
      <w:szCs w:val="48"/>
    </w:rPr>
  </w:style>
  <w:style w:type="character" w:styleId="828" w:customStyle="1">
    <w:name w:val="副标题 字符"/>
    <w:link w:val="763"/>
    <w:uiPriority w:val="11"/>
    <w:qFormat/>
    <w:rPr>
      <w:sz w:val="24"/>
      <w:szCs w:val="24"/>
    </w:rPr>
  </w:style>
  <w:style w:type="paragraph" w:styleId="829">
    <w:name w:val="Quote"/>
    <w:basedOn w:val="728"/>
    <w:next w:val="728"/>
    <w:link w:val="830"/>
    <w:uiPriority w:val="29"/>
    <w:qFormat/>
    <w:pPr>
      <w:ind w:left="720" w:right="720"/>
    </w:pPr>
    <w:rPr>
      <w:i/>
    </w:rPr>
  </w:style>
  <w:style w:type="character" w:styleId="830" w:customStyle="1">
    <w:name w:val="引用 字符"/>
    <w:link w:val="829"/>
    <w:uiPriority w:val="29"/>
    <w:qFormat/>
    <w:rPr>
      <w:i/>
    </w:rPr>
  </w:style>
  <w:style w:type="paragraph" w:styleId="831">
    <w:name w:val="Intense Quote"/>
    <w:basedOn w:val="728"/>
    <w:next w:val="728"/>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字符"/>
    <w:link w:val="831"/>
    <w:uiPriority w:val="30"/>
    <w:qFormat/>
    <w:rPr>
      <w:i/>
    </w:rPr>
  </w:style>
  <w:style w:type="character" w:styleId="833" w:customStyle="1">
    <w:name w:val="Header Char"/>
    <w:uiPriority w:val="99"/>
    <w:qFormat/>
  </w:style>
  <w:style w:type="character" w:styleId="834" w:customStyle="1">
    <w:name w:val="Footer Char"/>
    <w:uiPriority w:val="99"/>
    <w:qFormat/>
  </w:style>
  <w:style w:type="character" w:styleId="835" w:customStyle="1">
    <w:name w:val="Caption Char"/>
    <w:uiPriority w:val="99"/>
    <w:qFormat/>
  </w:style>
  <w:style w:type="table" w:styleId="8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1" w:customStyle="1">
    <w:name w:val="脚注文本 字符"/>
    <w:link w:val="765"/>
    <w:uiPriority w:val="99"/>
    <w:qFormat/>
    <w:rPr>
      <w:sz w:val="18"/>
    </w:rPr>
  </w:style>
  <w:style w:type="character" w:styleId="962" w:customStyle="1">
    <w:name w:val="尾注文本 字符"/>
    <w:link w:val="756"/>
    <w:uiPriority w:val="99"/>
    <w:qFormat/>
    <w:rPr>
      <w:sz w:val="20"/>
    </w:rPr>
  </w:style>
  <w:style w:type="paragraph" w:styleId="963" w:customStyle="1">
    <w:name w:val="TOC 标题111"/>
    <w:uiPriority w:val="39"/>
    <w:unhideWhenUsed/>
    <w:qFormat/>
    <w:rPr>
      <w:rFonts w:hint="default" w:ascii="Times New Roman" w:hAnsi="Times New Roman" w:eastAsia="宋体" w:cs="Times New Roman"/>
      <w:lang w:val="en-US" w:eastAsia="zh-CN" w:bidi="ar-SA"/>
    </w:rPr>
  </w:style>
  <w:style w:type="character" w:styleId="964" w:customStyle="1">
    <w:name w:val="标题 1 字符"/>
    <w:link w:val="729"/>
    <w:uiPriority w:val="99"/>
    <w:qFormat/>
    <w:rPr>
      <w:rFonts w:ascii="楷体_GB2312" w:hAnsi="Times New Roman" w:eastAsia="楷体_GB2312" w:cs="Times New Roman"/>
      <w:sz w:val="28"/>
      <w:szCs w:val="28"/>
    </w:rPr>
  </w:style>
  <w:style w:type="character" w:styleId="965" w:customStyle="1">
    <w:name w:val="标题 2 字符"/>
    <w:link w:val="730"/>
    <w:uiPriority w:val="99"/>
    <w:qFormat/>
    <w:rPr>
      <w:rFonts w:ascii="Arial" w:hAnsi="Arial" w:eastAsia="幼圆" w:cs="Arial"/>
      <w:b/>
      <w:bCs/>
      <w:sz w:val="44"/>
      <w:szCs w:val="44"/>
    </w:rPr>
  </w:style>
  <w:style w:type="character" w:styleId="966" w:customStyle="1">
    <w:name w:val="正文缩进 字符"/>
    <w:link w:val="740"/>
    <w:uiPriority w:val="0"/>
    <w:qFormat/>
    <w:rPr>
      <w:rFonts w:ascii="Times New Roman" w:hAnsi="Times New Roman" w:eastAsia="宋体" w:cs="Times New Roman"/>
      <w:szCs w:val="21"/>
    </w:rPr>
  </w:style>
  <w:style w:type="character" w:styleId="967" w:customStyle="1">
    <w:name w:val="标题 3 字符"/>
    <w:link w:val="731"/>
    <w:uiPriority w:val="99"/>
    <w:qFormat/>
    <w:rPr>
      <w:rFonts w:ascii="Times New Roman" w:hAnsi="Times New Roman" w:eastAsia="宋体" w:cs="Times New Roman"/>
      <w:b/>
      <w:bCs/>
      <w:sz w:val="32"/>
      <w:szCs w:val="32"/>
    </w:rPr>
  </w:style>
  <w:style w:type="character" w:styleId="968" w:customStyle="1">
    <w:name w:val="标题 4 字符"/>
    <w:link w:val="732"/>
    <w:uiPriority w:val="99"/>
    <w:qFormat/>
    <w:rPr>
      <w:rFonts w:ascii="Arial" w:hAnsi="Arial" w:eastAsia="黑体" w:cs="Arial"/>
      <w:b/>
      <w:bCs/>
      <w:sz w:val="28"/>
      <w:szCs w:val="28"/>
    </w:rPr>
  </w:style>
  <w:style w:type="character" w:styleId="969" w:customStyle="1">
    <w:name w:val="标题 5 字符"/>
    <w:link w:val="733"/>
    <w:uiPriority w:val="99"/>
    <w:qFormat/>
    <w:rPr>
      <w:rFonts w:ascii="宋体" w:hAnsi="Times New Roman" w:eastAsia="宋体" w:cs="Times New Roman"/>
      <w:color w:val="000000"/>
      <w:sz w:val="28"/>
      <w:szCs w:val="28"/>
    </w:rPr>
  </w:style>
  <w:style w:type="character" w:styleId="970" w:customStyle="1">
    <w:name w:val="标题 6 字符"/>
    <w:link w:val="734"/>
    <w:uiPriority w:val="0"/>
    <w:qFormat/>
    <w:rPr>
      <w:rFonts w:ascii="Arial" w:hAnsi="Arial" w:eastAsia="黑体"/>
      <w:b/>
      <w:bCs/>
      <w:sz w:val="24"/>
      <w:szCs w:val="24"/>
    </w:rPr>
  </w:style>
  <w:style w:type="character" w:styleId="971" w:customStyle="1">
    <w:name w:val="标题 7 字符"/>
    <w:link w:val="735"/>
    <w:uiPriority w:val="0"/>
    <w:qFormat/>
    <w:rPr>
      <w:b/>
      <w:bCs/>
      <w:sz w:val="24"/>
      <w:szCs w:val="24"/>
    </w:rPr>
  </w:style>
  <w:style w:type="character" w:styleId="972" w:customStyle="1">
    <w:name w:val="标题 8 字符"/>
    <w:link w:val="736"/>
    <w:uiPriority w:val="0"/>
    <w:qFormat/>
    <w:rPr>
      <w:rFonts w:ascii="Arial" w:hAnsi="Arial" w:eastAsia="黑体"/>
      <w:sz w:val="24"/>
      <w:szCs w:val="24"/>
    </w:rPr>
  </w:style>
  <w:style w:type="character" w:styleId="973" w:customStyle="1">
    <w:name w:val="标题 9 字符"/>
    <w:link w:val="737"/>
    <w:uiPriority w:val="0"/>
    <w:qFormat/>
    <w:rPr>
      <w:rFonts w:ascii="Arial" w:hAnsi="Arial" w:eastAsia="黑体"/>
      <w:szCs w:val="21"/>
    </w:rPr>
  </w:style>
  <w:style w:type="character" w:styleId="974" w:customStyle="1">
    <w:name w:val="文档结构图 字符"/>
    <w:link w:val="744"/>
    <w:uiPriority w:val="99"/>
    <w:semiHidden/>
    <w:qFormat/>
    <w:rPr>
      <w:rFonts w:ascii="Times New Roman" w:hAnsi="Times New Roman" w:eastAsia="宋体" w:cs="Times New Roman"/>
      <w:szCs w:val="21"/>
      <w:shd w:val="clear" w:color="auto" w:fill="000080"/>
    </w:rPr>
  </w:style>
  <w:style w:type="character" w:styleId="975" w:customStyle="1">
    <w:name w:val="批注文字 字符"/>
    <w:link w:val="745"/>
    <w:uiPriority w:val="99"/>
    <w:qFormat/>
    <w:rPr>
      <w:rFonts w:ascii="Times New Roman" w:hAnsi="Times New Roman" w:eastAsia="宋体" w:cs="Times New Roman"/>
      <w:szCs w:val="21"/>
    </w:rPr>
  </w:style>
  <w:style w:type="character" w:styleId="976" w:customStyle="1">
    <w:name w:val="正文文本 3 字符"/>
    <w:link w:val="746"/>
    <w:uiPriority w:val="0"/>
    <w:qFormat/>
    <w:rPr>
      <w:rFonts w:ascii="仿宋_GB2312" w:hAnsi="Arial" w:eastAsia="仿宋_GB2312" w:cs="Times New Roman"/>
      <w:sz w:val="32"/>
      <w:szCs w:val="32"/>
    </w:rPr>
  </w:style>
  <w:style w:type="character" w:styleId="977" w:customStyle="1">
    <w:name w:val="正文文本 字符"/>
    <w:link w:val="747"/>
    <w:uiPriority w:val="99"/>
    <w:qFormat/>
    <w:rPr>
      <w:rFonts w:ascii="楷体_GB2312" w:hAnsi="Arial" w:eastAsia="楷体_GB2312" w:cs="Times New Roman"/>
      <w:sz w:val="28"/>
      <w:szCs w:val="28"/>
    </w:rPr>
  </w:style>
  <w:style w:type="character" w:styleId="978" w:customStyle="1">
    <w:name w:val="正文文本缩进 字符"/>
    <w:link w:val="748"/>
    <w:uiPriority w:val="0"/>
    <w:qFormat/>
    <w:rPr>
      <w:rFonts w:ascii="楷体_GB2312" w:hAnsi="Times New Roman" w:eastAsia="楷体_GB2312" w:cs="Times New Roman"/>
      <w:sz w:val="32"/>
      <w:szCs w:val="32"/>
    </w:rPr>
  </w:style>
  <w:style w:type="character" w:styleId="979" w:customStyle="1">
    <w:name w:val="纯文本 字符"/>
    <w:link w:val="752"/>
    <w:uiPriority w:val="0"/>
    <w:qFormat/>
    <w:rPr>
      <w:rFonts w:ascii="宋体" w:hAnsi="Courier New" w:eastAsia="宋体" w:cs="Courier New"/>
      <w:szCs w:val="21"/>
    </w:rPr>
  </w:style>
  <w:style w:type="character" w:styleId="980" w:customStyle="1">
    <w:name w:val="日期 字符"/>
    <w:link w:val="754"/>
    <w:uiPriority w:val="99"/>
    <w:qFormat/>
    <w:rPr>
      <w:rFonts w:ascii="Times New Roman" w:hAnsi="Times New Roman" w:eastAsia="宋体" w:cs="Times New Roman"/>
      <w:sz w:val="24"/>
      <w:szCs w:val="24"/>
    </w:rPr>
  </w:style>
  <w:style w:type="character" w:styleId="981" w:customStyle="1">
    <w:name w:val="正文文本缩进 2 字符"/>
    <w:link w:val="755"/>
    <w:uiPriority w:val="99"/>
    <w:qFormat/>
    <w:rPr>
      <w:rFonts w:ascii="Arial" w:hAnsi="Arial" w:eastAsia="仿宋_GB2312" w:cs="Arial"/>
      <w:sz w:val="32"/>
      <w:szCs w:val="32"/>
    </w:rPr>
  </w:style>
  <w:style w:type="character" w:styleId="982" w:customStyle="1">
    <w:name w:val="批注框文本 字符"/>
    <w:link w:val="757"/>
    <w:uiPriority w:val="99"/>
    <w:semiHidden/>
    <w:qFormat/>
    <w:rPr>
      <w:rFonts w:ascii="Times New Roman" w:hAnsi="Times New Roman" w:eastAsia="宋体" w:cs="Times New Roman"/>
      <w:sz w:val="18"/>
      <w:szCs w:val="18"/>
    </w:rPr>
  </w:style>
  <w:style w:type="character" w:styleId="983" w:customStyle="1">
    <w:name w:val="页脚 字符"/>
    <w:link w:val="758"/>
    <w:uiPriority w:val="99"/>
    <w:qFormat/>
    <w:rPr>
      <w:rFonts w:ascii="Times New Roman" w:hAnsi="Times New Roman" w:eastAsia="宋体" w:cs="Times New Roman"/>
      <w:sz w:val="18"/>
      <w:szCs w:val="18"/>
    </w:rPr>
  </w:style>
  <w:style w:type="character" w:styleId="984" w:customStyle="1">
    <w:name w:val="页眉 字符"/>
    <w:link w:val="760"/>
    <w:uiPriority w:val="99"/>
    <w:qFormat/>
    <w:rPr>
      <w:rFonts w:ascii="Times New Roman" w:hAnsi="Times New Roman" w:eastAsia="宋体" w:cs="Times New Roman"/>
      <w:sz w:val="18"/>
      <w:szCs w:val="18"/>
    </w:rPr>
  </w:style>
  <w:style w:type="character" w:styleId="985" w:customStyle="1">
    <w:name w:val="正文文本缩进 3 字符"/>
    <w:link w:val="767"/>
    <w:uiPriority w:val="99"/>
    <w:qFormat/>
    <w:rPr>
      <w:rFonts w:ascii="Arial" w:hAnsi="Arial" w:eastAsia="仿宋_GB2312" w:cs="Arial"/>
      <w:color w:val="ffff00"/>
      <w:sz w:val="32"/>
      <w:szCs w:val="32"/>
    </w:rPr>
  </w:style>
  <w:style w:type="character" w:styleId="986" w:customStyle="1">
    <w:name w:val="正文文本 2 字符"/>
    <w:link w:val="771"/>
    <w:uiPriority w:val="99"/>
    <w:qFormat/>
    <w:rPr>
      <w:rFonts w:ascii="楷体_GB2312" w:hAnsi="Times New Roman" w:eastAsia="楷体_GB2312" w:cs="Times New Roman"/>
      <w:sz w:val="28"/>
      <w:szCs w:val="28"/>
    </w:rPr>
  </w:style>
  <w:style w:type="character" w:styleId="987" w:customStyle="1">
    <w:name w:val="批注主题 字符"/>
    <w:link w:val="775"/>
    <w:uiPriority w:val="0"/>
    <w:qFormat/>
    <w:rPr>
      <w:rFonts w:ascii="Times New Roman" w:hAnsi="Times New Roman" w:eastAsia="宋体" w:cs="Times New Roman"/>
      <w:b/>
      <w:bCs/>
      <w:szCs w:val="21"/>
    </w:rPr>
  </w:style>
  <w:style w:type="character" w:styleId="988" w:customStyle="1">
    <w:name w:val="正文文本首行缩进 字符"/>
    <w:link w:val="776"/>
    <w:uiPriority w:val="0"/>
    <w:qFormat/>
    <w:rPr>
      <w:rFonts w:ascii="仿宋_GB2312" w:hAnsi="Times New Roman" w:eastAsia="仿宋_GB2312" w:cs="Times New Roman"/>
      <w:sz w:val="30"/>
      <w:szCs w:val="30"/>
    </w:rPr>
  </w:style>
  <w:style w:type="character" w:styleId="989" w:customStyle="1">
    <w:name w:val="正文文本首行缩进 2 字符"/>
    <w:link w:val="777"/>
    <w:uiPriority w:val="99"/>
    <w:qFormat/>
    <w:rPr>
      <w:rFonts w:ascii="宋体" w:hAnsi="宋体" w:eastAsia="宋体" w:cs="Times New Roman"/>
      <w:sz w:val="32"/>
      <w:szCs w:val="20"/>
    </w:rPr>
  </w:style>
  <w:style w:type="character" w:styleId="990" w:customStyle="1">
    <w:name w:val="已访问的超链接11"/>
    <w:uiPriority w:val="0"/>
    <w:qFormat/>
    <w:rPr>
      <w:color w:val="800080"/>
      <w:u w:val="single"/>
    </w:rPr>
  </w:style>
  <w:style w:type="character" w:styleId="991" w:customStyle="1">
    <w:name w:val="font5 Char"/>
    <w:uiPriority w:val="0"/>
    <w:qFormat/>
    <w:rPr>
      <w:rFonts w:ascii="宋体" w:hAnsi="宋体" w:eastAsia="宋体"/>
      <w:sz w:val="28"/>
      <w:szCs w:val="28"/>
      <w:lang w:val="en-US" w:eastAsia="zh-CN" w:bidi="ar-SA"/>
    </w:rPr>
  </w:style>
  <w:style w:type="character" w:styleId="992" w:customStyle="1">
    <w:name w:val="二级目录 Char"/>
    <w:link w:val="993"/>
    <w:uiPriority w:val="0"/>
    <w:qFormat/>
    <w:rPr>
      <w:b/>
      <w:sz w:val="30"/>
      <w:szCs w:val="28"/>
    </w:rPr>
  </w:style>
  <w:style w:type="paragraph" w:styleId="993" w:customStyle="1">
    <w:name w:val="二级目录"/>
    <w:next w:val="728"/>
    <w:link w:val="99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4" w:customStyle="1">
    <w:name w:val="列出段落 Char"/>
    <w:link w:val="995"/>
    <w:uiPriority w:val="0"/>
    <w:qFormat/>
    <w:rPr>
      <w:rFonts w:ascii="Calibri" w:hAnsi="Calibri"/>
      <w:sz w:val="24"/>
      <w:szCs w:val="24"/>
      <w:lang w:eastAsia="en-US" w:bidi="en-US"/>
    </w:rPr>
  </w:style>
  <w:style w:type="paragraph" w:styleId="995" w:customStyle="1">
    <w:name w:val="列出段落1"/>
    <w:basedOn w:val="728"/>
    <w:link w:val="994"/>
    <w:uiPriority w:val="0"/>
    <w:qFormat/>
    <w:pPr>
      <w:contextualSpacing/>
      <w:ind w:left="720"/>
      <w:jc w:val="left"/>
      <w:widowControl/>
    </w:pPr>
    <w:rPr>
      <w:rFonts w:ascii="Calibri" w:hAnsi="Calibri"/>
      <w:sz w:val="24"/>
      <w:szCs w:val="24"/>
      <w:lang w:eastAsia="en-US" w:bidi="en-US"/>
    </w:rPr>
  </w:style>
  <w:style w:type="paragraph" w:styleId="996" w:customStyle="1">
    <w:name w:val="Body Text(ch)"/>
    <w:basedOn w:val="728"/>
    <w:next w:val="747"/>
    <w:uiPriority w:val="0"/>
    <w:qFormat/>
    <w:pPr>
      <w:spacing w:after="120"/>
    </w:pPr>
    <w:rPr>
      <w:rFonts w:ascii="宋体" w:hAnsi="Arial"/>
      <w:bCs/>
      <w:iCs/>
      <w:szCs w:val="24"/>
    </w:rPr>
  </w:style>
  <w:style w:type="paragraph" w:styleId="997" w:customStyle="1">
    <w:name w:val="xl27"/>
    <w:basedOn w:val="72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8" w:customStyle="1">
    <w:name w:val="xl26"/>
    <w:basedOn w:val="7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9" w:customStyle="1">
    <w:name w:val="Char"/>
    <w:basedOn w:val="728"/>
    <w:uiPriority w:val="0"/>
    <w:qFormat/>
    <w:pPr>
      <w:ind w:firstLine="200"/>
      <w:tabs>
        <w:tab w:val="left" w:pos="360" w:leader="none"/>
      </w:tabs>
    </w:pPr>
    <w:rPr>
      <w:sz w:val="28"/>
      <w:szCs w:val="30"/>
    </w:rPr>
  </w:style>
  <w:style w:type="paragraph" w:styleId="1000" w:customStyle="1">
    <w:name w:val="Char11"/>
    <w:basedOn w:val="744"/>
    <w:uiPriority w:val="0"/>
    <w:qFormat/>
    <w:rPr>
      <w:rFonts w:ascii="Tahoma" w:hAnsi="Tahoma"/>
      <w:sz w:val="24"/>
      <w:szCs w:val="24"/>
    </w:rPr>
  </w:style>
  <w:style w:type="paragraph" w:styleId="1001" w:customStyle="1">
    <w:name w:val="普通正文"/>
    <w:basedOn w:val="728"/>
    <w:uiPriority w:val="0"/>
    <w:qFormat/>
    <w:pPr>
      <w:ind w:firstLine="480"/>
      <w:jc w:val="left"/>
      <w:spacing w:before="120" w:after="120" w:line="360" w:lineRule="auto"/>
    </w:pPr>
    <w:rPr>
      <w:rFonts w:ascii="Arial" w:hAnsi="Arial"/>
      <w:sz w:val="24"/>
      <w:szCs w:val="24"/>
    </w:rPr>
  </w:style>
  <w:style w:type="paragraph" w:styleId="1002" w:customStyle="1">
    <w:name w:val="table_lines"/>
    <w:basedOn w:val="728"/>
    <w:uiPriority w:val="0"/>
    <w:qFormat/>
    <w:pPr>
      <w:jc w:val="left"/>
      <w:widowControl/>
    </w:pPr>
    <w:rPr>
      <w:sz w:val="20"/>
      <w:szCs w:val="20"/>
      <w:lang w:val="de-DE" w:eastAsia="de-DE"/>
    </w:rPr>
  </w:style>
  <w:style w:type="paragraph" w:styleId="1003"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04" w:customStyle="1">
    <w:name w:val="font7"/>
    <w:basedOn w:val="728"/>
    <w:uiPriority w:val="99"/>
    <w:qFormat/>
    <w:pPr>
      <w:jc w:val="left"/>
      <w:spacing w:before="100" w:beforeAutospacing="1" w:after="100" w:afterAutospacing="1"/>
      <w:widowControl/>
    </w:pPr>
    <w:rPr>
      <w:rFonts w:hint="eastAsia" w:ascii="宋体" w:hAnsi="宋体"/>
      <w:sz w:val="18"/>
      <w:szCs w:val="18"/>
    </w:rPr>
  </w:style>
  <w:style w:type="paragraph" w:styleId="1005" w:customStyle="1">
    <w:name w:val="Char Char Char Char"/>
    <w:basedOn w:val="744"/>
    <w:uiPriority w:val="0"/>
    <w:qFormat/>
    <w:pPr>
      <w:spacing w:line="360" w:lineRule="auto"/>
    </w:pPr>
    <w:rPr>
      <w:rFonts w:ascii="Tahoma" w:hAnsi="Tahoma"/>
      <w:sz w:val="24"/>
      <w:szCs w:val="24"/>
    </w:rPr>
  </w:style>
  <w:style w:type="paragraph" w:styleId="1006" w:customStyle="1">
    <w:name w:val="4"/>
    <w:basedOn w:val="728"/>
    <w:next w:val="767"/>
    <w:uiPriority w:val="0"/>
    <w:qFormat/>
    <w:pPr>
      <w:ind w:firstLine="420"/>
      <w:spacing w:line="360" w:lineRule="auto"/>
    </w:pPr>
    <w:rPr>
      <w:color w:val="ff0000"/>
      <w:sz w:val="24"/>
      <w:szCs w:val="24"/>
    </w:rPr>
  </w:style>
  <w:style w:type="paragraph" w:styleId="1007" w:customStyle="1">
    <w:name w:val="普通 (Web)"/>
    <w:basedOn w:val="728"/>
    <w:uiPriority w:val="0"/>
    <w:qFormat/>
    <w:pPr>
      <w:jc w:val="left"/>
      <w:spacing w:before="100" w:beforeAutospacing="1" w:after="100" w:afterAutospacing="1"/>
      <w:widowControl/>
    </w:pPr>
    <w:rPr>
      <w:rFonts w:ascii="宋体" w:hAnsi="宋体"/>
      <w:sz w:val="24"/>
      <w:szCs w:val="24"/>
    </w:rPr>
  </w:style>
  <w:style w:type="paragraph" w:styleId="1008" w:customStyle="1">
    <w:name w:val="Char Char Char Char Char Char Char Char Char Char"/>
    <w:basedOn w:val="728"/>
    <w:uiPriority w:val="0"/>
    <w:qFormat/>
    <w:pPr>
      <w:spacing w:line="360" w:lineRule="auto"/>
    </w:pPr>
    <w:rPr>
      <w:sz w:val="24"/>
      <w:szCs w:val="20"/>
    </w:rPr>
  </w:style>
  <w:style w:type="paragraph" w:styleId="1009" w:customStyle="1">
    <w:name w:val="样式1"/>
    <w:basedOn w:val="728"/>
    <w:uiPriority w:val="0"/>
    <w:qFormat/>
    <w:pPr>
      <w:numPr>
        <w:ilvl w:val="0"/>
        <w:numId w:val="3"/>
      </w:numPr>
    </w:pPr>
    <w:rPr>
      <w:rFonts w:ascii="宋体" w:hAnsi="宋体"/>
    </w:rPr>
  </w:style>
  <w:style w:type="paragraph" w:styleId="1010" w:customStyle="1">
    <w:name w:val="font6"/>
    <w:basedOn w:val="728"/>
    <w:uiPriority w:val="99"/>
    <w:qFormat/>
    <w:pPr>
      <w:jc w:val="left"/>
      <w:spacing w:before="100" w:beforeAutospacing="1" w:after="100" w:afterAutospacing="1"/>
      <w:widowControl/>
    </w:pPr>
    <w:rPr>
      <w:rFonts w:hint="eastAsia" w:ascii="宋体" w:hAnsi="宋体"/>
      <w:sz w:val="28"/>
      <w:szCs w:val="28"/>
      <w:u w:val="single"/>
    </w:rPr>
  </w:style>
  <w:style w:type="paragraph" w:styleId="1011" w:customStyle="1">
    <w:name w:val="xl25"/>
    <w:basedOn w:val="728"/>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2" w:customStyle="1">
    <w:name w:val="图标"/>
    <w:basedOn w:val="728"/>
    <w:next w:val="72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3" w:customStyle="1">
    <w:name w:val="标题3"/>
    <w:basedOn w:val="728"/>
    <w:next w:val="728"/>
    <w:uiPriority w:val="0"/>
    <w:qFormat/>
    <w:pPr>
      <w:ind w:firstLine="624"/>
      <w:spacing w:line="590" w:lineRule="atLeast"/>
    </w:pPr>
    <w:rPr>
      <w:rFonts w:ascii="方正黑体_GBK" w:eastAsia="方正黑体_GBK"/>
      <w:sz w:val="32"/>
      <w:szCs w:val="32"/>
    </w:rPr>
  </w:style>
  <w:style w:type="paragraph" w:styleId="1014" w:customStyle="1">
    <w:name w:val="xl24"/>
    <w:basedOn w:val="72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customStyle="1">
    <w:name w:val="xl29"/>
    <w:basedOn w:val="728"/>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6" w:customStyle="1">
    <w:name w:val="Char Char Char Char Char Char Char Char"/>
    <w:basedOn w:val="728"/>
    <w:uiPriority w:val="0"/>
    <w:qFormat/>
    <w:pPr>
      <w:jc w:val="left"/>
      <w:spacing w:after="160" w:line="240" w:lineRule="exact"/>
      <w:widowControl/>
    </w:pPr>
    <w:rPr>
      <w:rFonts w:ascii="Verdana" w:hAnsi="Verdana"/>
      <w:sz w:val="20"/>
      <w:szCs w:val="20"/>
      <w:lang w:eastAsia="en-US"/>
    </w:rPr>
  </w:style>
  <w:style w:type="paragraph" w:styleId="1017" w:customStyle="1">
    <w:name w:val="xl28"/>
    <w:basedOn w:val="728"/>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8" w:customStyle="1">
    <w:name w:val="Char Char Char Char Char Char Char Char11"/>
    <w:basedOn w:val="728"/>
    <w:uiPriority w:val="0"/>
    <w:qFormat/>
    <w:pPr>
      <w:jc w:val="left"/>
      <w:spacing w:after="160" w:line="240" w:lineRule="exact"/>
      <w:widowControl/>
    </w:pPr>
    <w:rPr>
      <w:rFonts w:ascii="Verdana" w:hAnsi="Verdana"/>
      <w:sz w:val="20"/>
      <w:szCs w:val="20"/>
      <w:lang w:eastAsia="en-US"/>
    </w:rPr>
  </w:style>
  <w:style w:type="paragraph" w:styleId="1019" w:customStyle="1">
    <w:name w:val="xl30"/>
    <w:basedOn w:val="728"/>
    <w:uiPriority w:val="99"/>
    <w:qFormat/>
    <w:pPr>
      <w:jc w:val="center"/>
      <w:spacing w:before="100" w:beforeAutospacing="1" w:after="100" w:afterAutospacing="1"/>
      <w:widowControl/>
    </w:pPr>
    <w:rPr>
      <w:rFonts w:ascii="宋体" w:hAnsi="宋体"/>
      <w:b/>
      <w:bCs/>
      <w:sz w:val="36"/>
      <w:szCs w:val="36"/>
    </w:rPr>
  </w:style>
  <w:style w:type="paragraph" w:styleId="1020" w:customStyle="1">
    <w:name w:val="Char Char Char Char11"/>
    <w:basedOn w:val="744"/>
    <w:uiPriority w:val="0"/>
    <w:qFormat/>
    <w:pPr>
      <w:spacing w:line="360" w:lineRule="auto"/>
    </w:pPr>
    <w:rPr>
      <w:rFonts w:ascii="Tahoma" w:hAnsi="Tahoma"/>
      <w:sz w:val="24"/>
      <w:szCs w:val="24"/>
    </w:rPr>
  </w:style>
  <w:style w:type="paragraph" w:styleId="1021" w:customStyle="1">
    <w:name w:val="table_1stline"/>
    <w:basedOn w:val="728"/>
    <w:uiPriority w:val="0"/>
    <w:qFormat/>
    <w:pPr>
      <w:jc w:val="left"/>
      <w:spacing w:before="120"/>
      <w:widowControl/>
    </w:pPr>
    <w:rPr>
      <w:bCs/>
      <w:sz w:val="20"/>
      <w:szCs w:val="20"/>
      <w:lang w:val="de-DE" w:eastAsia="de-DE"/>
    </w:rPr>
  </w:style>
  <w:style w:type="paragraph" w:styleId="1022" w:customStyle="1">
    <w:name w:val="font5"/>
    <w:basedOn w:val="728"/>
    <w:uiPriority w:val="99"/>
    <w:qFormat/>
    <w:pPr>
      <w:jc w:val="left"/>
      <w:spacing w:before="100" w:beforeAutospacing="1" w:after="100" w:afterAutospacing="1"/>
      <w:widowControl/>
    </w:pPr>
    <w:rPr>
      <w:rFonts w:hint="eastAsia" w:ascii="宋体" w:hAnsi="宋体"/>
      <w:sz w:val="28"/>
      <w:szCs w:val="28"/>
    </w:rPr>
  </w:style>
  <w:style w:type="paragraph" w:styleId="1023" w:customStyle="1">
    <w:name w:val="标题1"/>
    <w:basedOn w:val="728"/>
    <w:next w:val="72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4" w:customStyle="1">
    <w:name w:val="修订1"/>
    <w:uiPriority w:val="99"/>
    <w:qFormat/>
    <w:rPr>
      <w:rFonts w:hint="default" w:ascii="Times New Roman" w:hAnsi="Times New Roman" w:eastAsia="宋体" w:cs="Times New Roman"/>
      <w:sz w:val="21"/>
      <w:szCs w:val="21"/>
      <w:lang w:val="en-US" w:eastAsia="zh-CN" w:bidi="ar-SA"/>
    </w:rPr>
  </w:style>
  <w:style w:type="paragraph" w:styleId="1025" w:customStyle="1">
    <w:name w:val="普通文字"/>
    <w:basedOn w:val="728"/>
    <w:next w:val="728"/>
    <w:uiPriority w:val="99"/>
    <w:qFormat/>
    <w:rPr>
      <w:rFonts w:ascii="宋体"/>
      <w:sz w:val="24"/>
      <w:szCs w:val="20"/>
    </w:rPr>
  </w:style>
  <w:style w:type="paragraph" w:styleId="1026" w:customStyle="1">
    <w:name w:val="目录 111"/>
    <w:basedOn w:val="728"/>
    <w:next w:val="728"/>
    <w:uiPriority w:val="39"/>
    <w:unhideWhenUsed/>
    <w:qFormat/>
    <w:pPr>
      <w:jc w:val="left"/>
      <w:spacing w:after="100" w:line="259" w:lineRule="auto"/>
      <w:widowControl/>
    </w:pPr>
    <w:rPr>
      <w:rFonts w:ascii="Calibri" w:hAnsi="Calibri"/>
      <w:sz w:val="22"/>
      <w:szCs w:val="22"/>
    </w:rPr>
  </w:style>
  <w:style w:type="paragraph" w:styleId="1027" w:customStyle="1">
    <w:name w:val="font8"/>
    <w:basedOn w:val="728"/>
    <w:uiPriority w:val="99"/>
    <w:qFormat/>
    <w:pPr>
      <w:jc w:val="left"/>
      <w:spacing w:before="100" w:beforeAutospacing="1" w:after="100" w:afterAutospacing="1"/>
      <w:widowControl/>
    </w:pPr>
    <w:rPr>
      <w:rFonts w:ascii="宋体" w:hAnsi="宋体"/>
      <w:b/>
      <w:bCs/>
      <w:i/>
      <w:iCs/>
      <w:sz w:val="20"/>
      <w:szCs w:val="20"/>
    </w:rPr>
  </w:style>
  <w:style w:type="paragraph" w:styleId="1028" w:customStyle="1">
    <w:name w:val="font9"/>
    <w:basedOn w:val="728"/>
    <w:uiPriority w:val="99"/>
    <w:qFormat/>
    <w:pPr>
      <w:jc w:val="left"/>
      <w:spacing w:before="100" w:beforeAutospacing="1" w:after="100" w:afterAutospacing="1"/>
      <w:widowControl/>
    </w:pPr>
    <w:rPr>
      <w:b/>
      <w:bCs/>
      <w:sz w:val="20"/>
      <w:szCs w:val="20"/>
    </w:rPr>
  </w:style>
  <w:style w:type="paragraph" w:styleId="1029" w:customStyle="1">
    <w:name w:val="xl31"/>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030" w:customStyle="1">
    <w:name w:val="xl32"/>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31" w:customStyle="1">
    <w:name w:val="xl33"/>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32" w:customStyle="1">
    <w:name w:val="xl34"/>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33" w:customStyle="1">
    <w:name w:val="xl35"/>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034" w:customStyle="1">
    <w:name w:val="xl36"/>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35" w:customStyle="1">
    <w:name w:val="xl37"/>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036" w:customStyle="1">
    <w:name w:val="xl38"/>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37" w:customStyle="1">
    <w:name w:val="xl39"/>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38" w:customStyle="1">
    <w:name w:val="xl40"/>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39" w:customStyle="1">
    <w:name w:val="xl41"/>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40" w:customStyle="1">
    <w:name w:val="xl42"/>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41" w:customStyle="1">
    <w:name w:val="xl43"/>
    <w:basedOn w:val="72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042" w:customStyle="1">
    <w:name w:val="xl44"/>
    <w:basedOn w:val="728"/>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043" w:customStyle="1">
    <w:name w:val="xl45"/>
    <w:basedOn w:val="728"/>
    <w:uiPriority w:val="99"/>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1044" w:customStyle="1">
    <w:name w:val="xl46"/>
    <w:basedOn w:val="728"/>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45" w:customStyle="1">
    <w:name w:val="xl47"/>
    <w:basedOn w:val="72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6" w:customStyle="1">
    <w:name w:val="xl48"/>
    <w:basedOn w:val="728"/>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047" w:customStyle="1">
    <w:name w:val="xl49"/>
    <w:basedOn w:val="728"/>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048" w:customStyle="1">
    <w:name w:val="xl50"/>
    <w:basedOn w:val="72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049" w:customStyle="1">
    <w:name w:val="xl51"/>
    <w:basedOn w:val="728"/>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50" w:customStyle="1">
    <w:name w:val="xl52"/>
    <w:basedOn w:val="728"/>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51" w:customStyle="1">
    <w:name w:val="xl53"/>
    <w:basedOn w:val="728"/>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52" w:customStyle="1">
    <w:name w:val="xl54"/>
    <w:basedOn w:val="728"/>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1053" w:customStyle="1">
    <w:name w:val="xl55"/>
    <w:basedOn w:val="728"/>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054" w:customStyle="1">
    <w:name w:val="xl56"/>
    <w:basedOn w:val="728"/>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55" w:customStyle="1">
    <w:name w:val="xl57"/>
    <w:basedOn w:val="728"/>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56" w:customStyle="1">
    <w:name w:val="xl58"/>
    <w:basedOn w:val="728"/>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57" w:customStyle="1">
    <w:name w:val="xl59"/>
    <w:basedOn w:val="72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58" w:customStyle="1">
    <w:name w:val="xl60"/>
    <w:basedOn w:val="728"/>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59" w:customStyle="1">
    <w:name w:val="xl61"/>
    <w:basedOn w:val="728"/>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60" w:customStyle="1">
    <w:name w:val="xl62"/>
    <w:basedOn w:val="728"/>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61" w:customStyle="1">
    <w:name w:val="xl63"/>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062" w:customStyle="1">
    <w:name w:val="font10"/>
    <w:basedOn w:val="728"/>
    <w:uiPriority w:val="99"/>
    <w:qFormat/>
    <w:pPr>
      <w:jc w:val="left"/>
      <w:spacing w:before="100" w:beforeAutospacing="1" w:after="100" w:afterAutospacing="1"/>
      <w:widowControl/>
    </w:pPr>
    <w:rPr>
      <w:rFonts w:ascii="楷体_GB2312" w:hAnsi="宋体" w:eastAsia="楷体_GB2312"/>
      <w:b/>
      <w:bCs/>
      <w:sz w:val="18"/>
      <w:szCs w:val="18"/>
    </w:rPr>
  </w:style>
  <w:style w:type="paragraph" w:styleId="1063" w:customStyle="1">
    <w:name w:val="font11"/>
    <w:basedOn w:val="728"/>
    <w:uiPriority w:val="99"/>
    <w:qFormat/>
    <w:pPr>
      <w:jc w:val="left"/>
      <w:spacing w:before="100" w:beforeAutospacing="1" w:after="100" w:afterAutospacing="1"/>
      <w:widowControl/>
    </w:pPr>
    <w:rPr>
      <w:b/>
      <w:bCs/>
      <w:sz w:val="18"/>
      <w:szCs w:val="18"/>
    </w:rPr>
  </w:style>
  <w:style w:type="paragraph" w:styleId="1064" w:customStyle="1">
    <w:name w:val="font12"/>
    <w:basedOn w:val="728"/>
    <w:uiPriority w:val="99"/>
    <w:qFormat/>
    <w:pPr>
      <w:jc w:val="left"/>
      <w:spacing w:before="100" w:beforeAutospacing="1" w:after="100" w:afterAutospacing="1"/>
      <w:widowControl/>
    </w:pPr>
    <w:rPr>
      <w:rFonts w:ascii="宋体" w:hAnsi="宋体"/>
      <w:sz w:val="36"/>
      <w:szCs w:val="36"/>
    </w:rPr>
  </w:style>
  <w:style w:type="paragraph" w:styleId="1065" w:customStyle="1">
    <w:name w:val="font13"/>
    <w:basedOn w:val="728"/>
    <w:uiPriority w:val="99"/>
    <w:qFormat/>
    <w:pPr>
      <w:jc w:val="left"/>
      <w:spacing w:before="100" w:beforeAutospacing="1" w:after="100" w:afterAutospacing="1"/>
      <w:widowControl/>
    </w:pPr>
    <w:rPr>
      <w:i/>
      <w:iCs/>
      <w:sz w:val="36"/>
      <w:szCs w:val="36"/>
    </w:rPr>
  </w:style>
  <w:style w:type="paragraph" w:styleId="1066" w:customStyle="1">
    <w:name w:val="font14"/>
    <w:basedOn w:val="728"/>
    <w:uiPriority w:val="99"/>
    <w:qFormat/>
    <w:pPr>
      <w:jc w:val="left"/>
      <w:spacing w:before="100" w:beforeAutospacing="1" w:after="100" w:afterAutospacing="1"/>
      <w:widowControl/>
    </w:pPr>
    <w:rPr>
      <w:sz w:val="36"/>
      <w:szCs w:val="36"/>
    </w:rPr>
  </w:style>
  <w:style w:type="character" w:styleId="1067" w:customStyle="1">
    <w:name w:val="case31"/>
    <w:uiPriority w:val="99"/>
    <w:qFormat/>
    <w:rPr>
      <w:rFonts w:cs="Times New Roman"/>
      <w:spacing w:val="390"/>
      <w:sz w:val="21"/>
      <w:szCs w:val="21"/>
    </w:rPr>
  </w:style>
  <w:style w:type="paragraph" w:styleId="1068" w:customStyle="1">
    <w:name w:val="默认段落字体 Para Char"/>
    <w:basedOn w:val="728"/>
    <w:uiPriority w:val="99"/>
    <w:qFormat/>
    <w:pPr>
      <w:ind w:left="552" w:hanging="420"/>
      <w:tabs>
        <w:tab w:val="left" w:pos="552" w:leader="none"/>
      </w:tabs>
    </w:pPr>
    <w:rPr>
      <w:sz w:val="24"/>
      <w:szCs w:val="24"/>
    </w:rPr>
  </w:style>
  <w:style w:type="paragraph" w:styleId="1069" w:customStyle="1">
    <w:name w:val="Char Char1 Char Char Char Char"/>
    <w:basedOn w:val="744"/>
    <w:uiPriority w:val="99"/>
    <w:qFormat/>
    <w:pPr>
      <w:ind w:left="357"/>
      <w:jc w:val="left"/>
      <w:spacing w:line="436" w:lineRule="exact"/>
      <w:outlineLvl w:val="3"/>
    </w:pPr>
    <w:rPr>
      <w:rFonts w:ascii="Tahoma" w:hAnsi="Tahoma"/>
      <w:b/>
      <w:sz w:val="24"/>
      <w:szCs w:val="24"/>
    </w:rPr>
  </w:style>
  <w:style w:type="character" w:styleId="1070" w:customStyle="1">
    <w:name w:val="apple-converted-space"/>
    <w:uiPriority w:val="0"/>
    <w:qFormat/>
  </w:style>
  <w:style w:type="character" w:styleId="1071" w:customStyle="1">
    <w:name w:val="grame"/>
    <w:uiPriority w:val="0"/>
    <w:qFormat/>
  </w:style>
  <w:style w:type="character" w:styleId="1072">
    <w:name w:val="Placeholder Text"/>
    <w:uiPriority w:val="99"/>
    <w:unhideWhenUsed/>
    <w:qFormat/>
    <w:rPr>
      <w:color w:val="808080"/>
    </w:rPr>
  </w:style>
  <w:style w:type="paragraph" w:styleId="1073" w:customStyle="1">
    <w:name w:val="Char Char2 Char"/>
    <w:basedOn w:val="728"/>
    <w:uiPriority w:val="0"/>
    <w:qFormat/>
    <w:pPr>
      <w:ind w:left="390" w:hanging="390"/>
      <w:keepLines/>
      <w:keepNext/>
      <w:pageBreakBefore/>
      <w:tabs>
        <w:tab w:val="left" w:pos="390" w:leader="none"/>
      </w:tabs>
    </w:pPr>
    <w:rPr>
      <w:rFonts w:ascii="Tahoma" w:hAnsi="Tahoma"/>
      <w:sz w:val="24"/>
      <w:szCs w:val="20"/>
    </w:rPr>
  </w:style>
  <w:style w:type="table" w:styleId="1074" w:customStyle="1">
    <w:name w:val="Table Normal"/>
    <w:uiPriority w:val="0"/>
    <w:unhideWhenUsed/>
    <w:qFormat/>
    <w:tblPr>
      <w:tblCellMar>
        <w:left w:w="0" w:type="dxa"/>
        <w:top w:w="0" w:type="dxa"/>
        <w:right w:w="0" w:type="dxa"/>
        <w:bottom w:w="0" w:type="dxa"/>
      </w:tblCellMar>
    </w:tblPr>
  </w:style>
  <w:style w:type="character" w:styleId="1075" w:customStyle="1">
    <w:name w:val="font61"/>
    <w:uiPriority w:val="0"/>
    <w:qFormat/>
    <w:rPr>
      <w:rFonts w:ascii="宋体" w:hAnsi="宋体" w:eastAsia="宋体"/>
      <w:color w:val="000000"/>
      <w:sz w:val="21"/>
      <w:u w:val="none"/>
    </w:rPr>
  </w:style>
  <w:style w:type="paragraph" w:styleId="1076"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077" w:customStyle="1">
    <w:name w:val="TOC Heading1"/>
    <w:next w:val="728"/>
    <w:uiPriority w:val="0"/>
    <w:qFormat/>
    <w:rPr>
      <w:rFonts w:hint="default" w:ascii="Times New Roman" w:hAnsi="Times New Roman" w:eastAsia="宋体" w:cs="Times New Roman"/>
      <w:sz w:val="32"/>
      <w:lang w:val="en-US" w:eastAsia="zh-CN" w:bidi="ar-SA"/>
    </w:rPr>
  </w:style>
  <w:style w:type="character" w:styleId="1078" w:customStyle="1">
    <w:name w:val="font31"/>
    <w:uiPriority w:val="0"/>
    <w:qFormat/>
    <w:rPr>
      <w:rFonts w:hint="eastAsia" w:ascii="宋体" w:hAnsi="宋体" w:eastAsia="宋体" w:cs="宋体"/>
      <w:color w:val="ff0000"/>
      <w:sz w:val="20"/>
      <w:szCs w:val="20"/>
      <w:u w:val="none"/>
    </w:rPr>
  </w:style>
  <w:style w:type="character" w:styleId="1079" w:customStyle="1">
    <w:name w:val="font21"/>
    <w:uiPriority w:val="0"/>
    <w:qFormat/>
    <w:rPr>
      <w:rFonts w:hint="eastAsia" w:ascii="宋体" w:hAnsi="宋体" w:eastAsia="宋体" w:cs="宋体"/>
      <w:color w:val="000000"/>
      <w:sz w:val="20"/>
      <w:szCs w:val="20"/>
      <w:u w:val="none"/>
    </w:rPr>
  </w:style>
  <w:style w:type="paragraph" w:styleId="1080" w:customStyle="1">
    <w:name w:val="lp1"/>
    <w:basedOn w:val="728"/>
    <w:next w:val="825"/>
    <w:uiPriority w:val="99"/>
    <w:qFormat/>
    <w:pPr>
      <w:ind w:firstLine="420"/>
    </w:pPr>
    <w:rPr>
      <w:szCs w:val="20"/>
      <w:lang w:val="zh-CN"/>
    </w:rPr>
  </w:style>
  <w:style w:type="paragraph" w:styleId="1081" w:customStyle="1">
    <w:name w:val="样式 小四 段前: 5 磅 段后: 5 磅 首行缩进:  2 字符"/>
    <w:basedOn w:val="728"/>
    <w:uiPriority w:val="0"/>
    <w:qFormat/>
    <w:pPr>
      <w:jc w:val="center"/>
      <w:spacing w:line="360" w:lineRule="auto"/>
    </w:pPr>
    <w:rPr>
      <w:rFonts w:ascii="宋体" w:hAnsi="宋体"/>
      <w:bCs/>
      <w:color w:val="ff0000"/>
      <w:sz w:val="24"/>
      <w:szCs w:val="24"/>
    </w:rPr>
  </w:style>
  <w:style w:type="character" w:styleId="1082" w:customStyle="1">
    <w:name w:val="font01"/>
    <w:uiPriority w:val="0"/>
    <w:qFormat/>
    <w:rPr>
      <w:rFonts w:hint="eastAsia" w:ascii="宋体" w:hAnsi="宋体" w:eastAsia="宋体" w:cs="宋体"/>
      <w:color w:val="000000"/>
      <w:sz w:val="18"/>
      <w:szCs w:val="18"/>
      <w:u w:val="none"/>
    </w:rPr>
  </w:style>
  <w:style w:type="character" w:styleId="1083" w:customStyle="1">
    <w:name w:val="font51"/>
    <w:uiPriority w:val="0"/>
    <w:qFormat/>
    <w:rPr>
      <w:rFonts w:hint="eastAsia" w:ascii="宋体" w:hAnsi="宋体" w:eastAsia="宋体" w:cs="宋体"/>
      <w:color w:val="ff0000"/>
      <w:sz w:val="18"/>
      <w:szCs w:val="18"/>
      <w:u w:val="none"/>
    </w:rPr>
  </w:style>
  <w:style w:type="paragraph" w:styleId="1084" w:customStyle="1">
    <w:name w:val="修订111"/>
    <w:uiPriority w:val="99"/>
    <w:qFormat/>
    <w:rPr>
      <w:rFonts w:hint="default" w:ascii="Times New Roman" w:hAnsi="Times New Roman" w:eastAsia="宋体" w:cs="Times New Roman"/>
      <w:sz w:val="21"/>
      <w:lang w:val="en-US" w:eastAsia="zh-CN" w:bidi="ar-SA"/>
    </w:rPr>
  </w:style>
  <w:style w:type="character" w:styleId="1085" w:customStyle="1">
    <w:name w:val="font71"/>
    <w:uiPriority w:val="0"/>
    <w:qFormat/>
    <w:rPr>
      <w:rFonts w:hint="eastAsia" w:ascii="宋体" w:hAnsi="宋体" w:eastAsia="宋体" w:cs="宋体"/>
      <w:b/>
      <w:bCs/>
      <w:color w:val="000000"/>
      <w:sz w:val="20"/>
      <w:szCs w:val="20"/>
      <w:u w:val="none"/>
    </w:rPr>
  </w:style>
  <w:style w:type="paragraph" w:styleId="1086" w:customStyle="1">
    <w:name w:val="正文2"/>
    <w:basedOn w:val="728"/>
    <w:uiPriority w:val="0"/>
    <w:qFormat/>
    <w:pPr>
      <w:ind w:firstLine="510"/>
      <w:spacing w:before="156" w:line="360" w:lineRule="auto"/>
    </w:pPr>
    <w:rPr>
      <w:sz w:val="24"/>
    </w:rPr>
  </w:style>
  <w:style w:type="character" w:styleId="1087" w:customStyle="1">
    <w:name w:val="标题 3 字符1"/>
    <w:link w:val="1088"/>
    <w:uiPriority w:val="0"/>
    <w:qFormat/>
    <w:rPr>
      <w:b/>
      <w:sz w:val="32"/>
    </w:rPr>
  </w:style>
  <w:style w:type="paragraph" w:styleId="1088" w:customStyle="1">
    <w:name w:val="标题 31"/>
    <w:basedOn w:val="728"/>
    <w:next w:val="728"/>
    <w:link w:val="1087"/>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1089" w:customStyle="1">
    <w:name w:val="列表段落1"/>
    <w:basedOn w:val="728"/>
    <w:uiPriority w:val="0"/>
    <w:qFormat/>
    <w:pPr>
      <w:ind w:firstLine="420"/>
      <w:jc w:val="left"/>
      <w:spacing w:line="360" w:lineRule="auto"/>
      <w:widowControl/>
    </w:pPr>
    <w:rPr>
      <w:rFonts w:asciiTheme="minorEastAsia" w:hAnsiTheme="minorEastAsia" w:eastAsiaTheme="minorEastAsia"/>
      <w:sz w:val="24"/>
      <w:szCs w:val="22"/>
    </w:rPr>
  </w:style>
  <w:style w:type="character" w:styleId="1090" w:customStyle="1">
    <w:name w:val="font81"/>
    <w:uiPriority w:val="0"/>
    <w:qFormat/>
    <w:rPr>
      <w:rFonts w:hint="eastAsia" w:ascii="宋体" w:hAnsi="宋体" w:eastAsia="宋体" w:cs="宋体"/>
      <w:color w:val="000000"/>
      <w:sz w:val="20"/>
      <w:szCs w:val="20"/>
      <w:u w:val="none"/>
    </w:rPr>
  </w:style>
  <w:style w:type="character" w:styleId="1091" w:customStyle="1">
    <w:name w:val="font171"/>
    <w:uiPriority w:val="0"/>
    <w:qFormat/>
    <w:rPr>
      <w:rFonts w:hint="eastAsia" w:ascii="宋体" w:hAnsi="宋体" w:eastAsia="宋体" w:cs="宋体"/>
      <w:b/>
      <w:bCs/>
      <w:color w:val="ff0000"/>
      <w:sz w:val="20"/>
      <w:szCs w:val="20"/>
      <w:u w:val="none"/>
    </w:rPr>
  </w:style>
  <w:style w:type="character" w:styleId="1092" w:customStyle="1">
    <w:name w:val="无间隔 字符"/>
    <w:basedOn w:val="738"/>
    <w:link w:val="826"/>
    <w:uiPriority w:val="1"/>
    <w:qFormat/>
    <w:rPr>
      <w:sz w:val="21"/>
      <w:szCs w:val="21"/>
    </w:rPr>
  </w:style>
  <w:style w:type="paragraph" w:styleId="1093" w:customStyle="1">
    <w:name w:val="TOC 标题11"/>
    <w:uiPriority w:val="39"/>
    <w:unhideWhenUsed/>
    <w:qFormat/>
    <w:rPr>
      <w:rFonts w:hint="default" w:ascii="Times New Roman" w:hAnsi="Times New Roman" w:eastAsia="宋体" w:cs="Times New Roman"/>
      <w:lang w:val="en-US" w:eastAsia="zh-CN" w:bidi="ar-SA"/>
    </w:rPr>
  </w:style>
  <w:style w:type="character" w:styleId="1094" w:customStyle="1">
    <w:name w:val="已访问的超链接1"/>
    <w:uiPriority w:val="0"/>
    <w:qFormat/>
    <w:rPr>
      <w:color w:val="800080"/>
      <w:u w:val="single"/>
    </w:rPr>
  </w:style>
  <w:style w:type="paragraph" w:styleId="1095" w:customStyle="1">
    <w:name w:val="Char1"/>
    <w:basedOn w:val="744"/>
    <w:uiPriority w:val="0"/>
    <w:qFormat/>
    <w:rPr>
      <w:rFonts w:ascii="Tahoma" w:hAnsi="Tahoma"/>
      <w:sz w:val="24"/>
      <w:szCs w:val="24"/>
    </w:rPr>
  </w:style>
  <w:style w:type="paragraph" w:styleId="1096" w:customStyle="1">
    <w:name w:val="Char Char Char Char Char Char Char Char1"/>
    <w:basedOn w:val="728"/>
    <w:uiPriority w:val="0"/>
    <w:qFormat/>
    <w:pPr>
      <w:jc w:val="left"/>
      <w:spacing w:after="160" w:line="240" w:lineRule="exact"/>
      <w:widowControl/>
    </w:pPr>
    <w:rPr>
      <w:rFonts w:ascii="Verdana" w:hAnsi="Verdana"/>
      <w:sz w:val="20"/>
      <w:szCs w:val="20"/>
      <w:lang w:eastAsia="en-US"/>
    </w:rPr>
  </w:style>
  <w:style w:type="paragraph" w:styleId="1097" w:customStyle="1">
    <w:name w:val="Char Char Char Char1"/>
    <w:basedOn w:val="744"/>
    <w:uiPriority w:val="99"/>
    <w:qFormat/>
    <w:pPr>
      <w:spacing w:line="360" w:lineRule="auto"/>
    </w:pPr>
    <w:rPr>
      <w:rFonts w:ascii="Tahoma" w:hAnsi="Tahoma"/>
      <w:sz w:val="24"/>
      <w:szCs w:val="24"/>
    </w:rPr>
  </w:style>
  <w:style w:type="paragraph" w:styleId="109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99" w:customStyle="1">
    <w:name w:val="修订11"/>
    <w:uiPriority w:val="99"/>
    <w:semiHidden/>
    <w:qFormat/>
    <w:rPr>
      <w:rFonts w:hint="default" w:ascii="Times New Roman" w:hAnsi="Times New Roman" w:eastAsia="宋体" w:cs="Times New Roman"/>
      <w:sz w:val="21"/>
      <w:lang w:val="en-US" w:eastAsia="zh-CN" w:bidi="ar-SA"/>
    </w:rPr>
  </w:style>
  <w:style w:type="character" w:styleId="1100" w:customStyle="1">
    <w:name w:val="font112"/>
    <w:basedOn w:val="738"/>
    <w:uiPriority w:val="0"/>
    <w:qFormat/>
    <w:rPr>
      <w:rFonts w:ascii="Calibri" w:hAnsi="Calibri" w:cs="Calibri"/>
      <w:color w:val="000000"/>
      <w:sz w:val="22"/>
      <w:szCs w:val="22"/>
      <w:u w:val="none"/>
    </w:rPr>
  </w:style>
  <w:style w:type="character" w:styleId="1101" w:customStyle="1">
    <w:name w:val="font121"/>
    <w:basedOn w:val="738"/>
    <w:uiPriority w:val="0"/>
    <w:qFormat/>
    <w:rPr>
      <w:rFonts w:hint="default" w:ascii="Calibri" w:hAnsi="Calibri" w:cs="Calibri"/>
      <w:color w:val="ff0000"/>
      <w:sz w:val="22"/>
      <w:szCs w:val="22"/>
      <w:u w:val="none"/>
    </w:rPr>
  </w:style>
  <w:style w:type="character" w:styleId="1102" w:customStyle="1">
    <w:name w:val="font131"/>
    <w:basedOn w:val="738"/>
    <w:uiPriority w:val="0"/>
    <w:qFormat/>
    <w:rPr>
      <w:rFonts w:hint="eastAsia" w:ascii="宋体" w:hAnsi="宋体" w:eastAsia="宋体" w:cs="宋体"/>
      <w:color w:val="0070c0"/>
      <w:sz w:val="22"/>
      <w:szCs w:val="22"/>
      <w:u w:val="none"/>
    </w:rPr>
  </w:style>
  <w:style w:type="character" w:styleId="1103" w:customStyle="1">
    <w:name w:val="font141"/>
    <w:basedOn w:val="738"/>
    <w:uiPriority w:val="0"/>
    <w:qFormat/>
    <w:rPr>
      <w:rFonts w:hint="eastAsia" w:ascii="宋体" w:hAnsi="宋体" w:eastAsia="宋体" w:cs="宋体"/>
      <w:b/>
      <w:bCs/>
      <w:color w:val="ff0000"/>
      <w:sz w:val="22"/>
      <w:szCs w:val="22"/>
      <w:u w:val="none"/>
    </w:rPr>
  </w:style>
  <w:style w:type="character" w:styleId="1104" w:customStyle="1">
    <w:name w:val="font151"/>
    <w:basedOn w:val="738"/>
    <w:uiPriority w:val="0"/>
    <w:qFormat/>
    <w:rPr>
      <w:rFonts w:hint="default" w:ascii="Calibri" w:hAnsi="Calibri" w:cs="Calibri"/>
      <w:color w:val="000000"/>
      <w:sz w:val="22"/>
      <w:szCs w:val="22"/>
      <w:u w:val="none"/>
    </w:rPr>
  </w:style>
  <w:style w:type="character" w:styleId="1105" w:customStyle="1">
    <w:name w:val="font161"/>
    <w:basedOn w:val="738"/>
    <w:uiPriority w:val="0"/>
    <w:qFormat/>
    <w:rPr>
      <w:rFonts w:hint="default" w:ascii="Calibri" w:hAnsi="Calibri" w:cs="Calibri"/>
      <w:color w:val="000000"/>
      <w:sz w:val="22"/>
      <w:szCs w:val="22"/>
      <w:u w:val="none"/>
    </w:rPr>
  </w:style>
  <w:style w:type="character" w:styleId="1106" w:customStyle="1">
    <w:name w:val="font181"/>
    <w:basedOn w:val="738"/>
    <w:uiPriority w:val="0"/>
    <w:qFormat/>
    <w:rPr>
      <w:rFonts w:hint="default" w:ascii="Times New Roman" w:hAnsi="Times New Roman" w:cs="Times New Roman"/>
      <w:color w:val="ff0000"/>
      <w:sz w:val="22"/>
      <w:szCs w:val="22"/>
      <w:u w:val="none"/>
    </w:rPr>
  </w:style>
  <w:style w:type="paragraph" w:styleId="1107" w:customStyle="1">
    <w:name w:val="正文1"/>
    <w:basedOn w:val="728"/>
    <w:uiPriority w:val="0"/>
    <w:qFormat/>
    <w:pPr>
      <w:jc w:val="left"/>
      <w:spacing w:after="200" w:line="300" w:lineRule="atLeast"/>
      <w:widowControl/>
    </w:pPr>
    <w:rPr>
      <w:rFonts w:cs="宋体"/>
      <w:sz w:val="22"/>
    </w:rPr>
  </w:style>
  <w:style w:type="numbering" w:styleId="11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孙骁立</cp:lastModifiedBy>
  <cp:revision>19</cp:revision>
  <dcterms:created xsi:type="dcterms:W3CDTF">2024-10-16T11:27:00Z</dcterms:created>
  <dcterms:modified xsi:type="dcterms:W3CDTF">2025-11-13T02:35:04Z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4A85F5026EBD4723AE2CD832FF846BC6_13</vt:lpwstr>
  </property>
  <property fmtid="{D5CDD505-2E9C-101B-9397-08002B2CF9AE}" pid="4" name="KSOTemplateDocerSaveRecord">
    <vt:lpwstr>eyJoZGlkIjoiYWEwNDBkZDVjMDI2NzVhN2Q2ZjdkYzk3NDg0ZWQ4YWQiLCJ1c2VySWQiOiI1Mzk3NjA2MDAifQ==</vt:lpwstr>
  </property>
</Properties>
</file>